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27" w:rsidRDefault="00327A27" w:rsidP="00A16DAF">
      <w:pPr>
        <w:pStyle w:val="Listaszerbekezds"/>
        <w:jc w:val="center"/>
        <w:rPr>
          <w:rFonts w:ascii="Times New Roman" w:hAnsi="Times New Roman" w:cs="Times New Roman"/>
          <w:sz w:val="32"/>
          <w:szCs w:val="32"/>
        </w:rPr>
      </w:pPr>
    </w:p>
    <w:p w:rsidR="00A16DAF" w:rsidRDefault="00A16DAF" w:rsidP="00A16DAF">
      <w:pPr>
        <w:pStyle w:val="Listaszerbekezds"/>
        <w:jc w:val="center"/>
        <w:rPr>
          <w:rFonts w:ascii="Times New Roman" w:hAnsi="Times New Roman" w:cs="Times New Roman"/>
          <w:sz w:val="32"/>
          <w:szCs w:val="32"/>
        </w:rPr>
      </w:pPr>
    </w:p>
    <w:p w:rsidR="00A16DAF" w:rsidRDefault="00A16DAF" w:rsidP="00A16DAF">
      <w:pPr>
        <w:pStyle w:val="Listaszerbekezds"/>
        <w:jc w:val="center"/>
        <w:rPr>
          <w:rFonts w:ascii="Times New Roman" w:hAnsi="Times New Roman" w:cs="Times New Roman"/>
          <w:sz w:val="32"/>
          <w:szCs w:val="32"/>
        </w:rPr>
      </w:pPr>
    </w:p>
    <w:p w:rsidR="00A16DAF" w:rsidRDefault="00A16DAF" w:rsidP="00A16DAF">
      <w:pPr>
        <w:pStyle w:val="Listaszerbekezds"/>
        <w:jc w:val="center"/>
        <w:rPr>
          <w:rFonts w:ascii="Times New Roman" w:hAnsi="Times New Roman" w:cs="Times New Roman"/>
          <w:sz w:val="32"/>
          <w:szCs w:val="32"/>
        </w:rPr>
      </w:pPr>
    </w:p>
    <w:p w:rsidR="00A16DAF" w:rsidRDefault="00A16DAF" w:rsidP="00A16DAF">
      <w:pPr>
        <w:pStyle w:val="Listaszerbekezds"/>
        <w:jc w:val="center"/>
        <w:rPr>
          <w:rFonts w:ascii="Times New Roman" w:hAnsi="Times New Roman" w:cs="Times New Roman"/>
          <w:sz w:val="32"/>
          <w:szCs w:val="32"/>
        </w:rPr>
      </w:pPr>
    </w:p>
    <w:p w:rsidR="00A16DAF" w:rsidRDefault="00A16DAF" w:rsidP="00A16DAF">
      <w:pPr>
        <w:pStyle w:val="Listaszerbekezds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DAF">
        <w:rPr>
          <w:rFonts w:ascii="Times New Roman" w:hAnsi="Times New Roman" w:cs="Times New Roman"/>
          <w:b/>
          <w:sz w:val="32"/>
          <w:szCs w:val="32"/>
        </w:rPr>
        <w:t>Vezetői program</w:t>
      </w:r>
    </w:p>
    <w:p w:rsidR="00A16DAF" w:rsidRPr="00A16DAF" w:rsidRDefault="00A16DAF" w:rsidP="00A16DAF">
      <w:pPr>
        <w:pStyle w:val="Listaszerbekezds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6DAF" w:rsidRPr="00A16DAF" w:rsidRDefault="00A16DAF" w:rsidP="00A16DAF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DAF">
        <w:rPr>
          <w:rFonts w:ascii="Times New Roman" w:hAnsi="Times New Roman" w:cs="Times New Roman"/>
          <w:sz w:val="24"/>
          <w:szCs w:val="24"/>
        </w:rPr>
        <w:t>(az intézmény helyzetelemzésére alapuló, vezetésre,</w:t>
      </w:r>
    </w:p>
    <w:p w:rsidR="00A16DAF" w:rsidRDefault="00A16DAF" w:rsidP="00A16DAF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6DAF">
        <w:rPr>
          <w:rFonts w:ascii="Times New Roman" w:hAnsi="Times New Roman" w:cs="Times New Roman"/>
          <w:sz w:val="24"/>
          <w:szCs w:val="24"/>
        </w:rPr>
        <w:t>fejlesztésre</w:t>
      </w:r>
      <w:proofErr w:type="gramEnd"/>
      <w:r w:rsidRPr="00A16DAF">
        <w:rPr>
          <w:rFonts w:ascii="Times New Roman" w:hAnsi="Times New Roman" w:cs="Times New Roman"/>
          <w:sz w:val="24"/>
          <w:szCs w:val="24"/>
        </w:rPr>
        <w:t xml:space="preserve"> irányuló szakmai elképzelések bemutatása)</w:t>
      </w:r>
    </w:p>
    <w:p w:rsidR="00A16DAF" w:rsidRDefault="00A16DAF" w:rsidP="00A16DAF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DAF" w:rsidRDefault="00A16DAF" w:rsidP="00A16DAF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DAF" w:rsidRDefault="00A16DAF" w:rsidP="00A16DAF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DAF" w:rsidRDefault="00A16DAF" w:rsidP="00A16DAF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DAF" w:rsidRDefault="00A16DAF" w:rsidP="00A16DAF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DAF" w:rsidRDefault="00A16DAF" w:rsidP="00A16DAF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DAF" w:rsidRDefault="00A16DAF" w:rsidP="00A16DAF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DAF" w:rsidRDefault="00A16DAF" w:rsidP="00A16DAF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DAF" w:rsidRDefault="00A16DAF" w:rsidP="00A16DAF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DAF" w:rsidRDefault="00A16DAF" w:rsidP="00A16DAF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DAF" w:rsidRDefault="00A16DAF" w:rsidP="00A16DAF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DAF" w:rsidRDefault="00A16DAF" w:rsidP="00A16DAF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DAF" w:rsidRDefault="00A16DAF" w:rsidP="00A16DAF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DAF" w:rsidRDefault="00A16DAF" w:rsidP="00A16DAF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DAF" w:rsidRDefault="00A16DAF" w:rsidP="00A16DAF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DAF" w:rsidRDefault="00A16DAF" w:rsidP="00A16DAF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DAF" w:rsidRDefault="00A16DAF" w:rsidP="00A16DAF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DAF" w:rsidRDefault="00A16DAF" w:rsidP="00A16DAF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DAF" w:rsidRDefault="00A16DAF" w:rsidP="00A16DAF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DAF" w:rsidRDefault="00A16DAF" w:rsidP="00A16DAF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DAF" w:rsidRDefault="00A16DAF" w:rsidP="00A16DAF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DAF" w:rsidRDefault="00A16DAF" w:rsidP="00A16DAF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DAF" w:rsidRDefault="00A16DAF" w:rsidP="00A16DAF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DAF" w:rsidRDefault="00A16DAF" w:rsidP="00A16DAF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DAF" w:rsidRDefault="00A16DAF" w:rsidP="00A16DAF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DAF" w:rsidRDefault="00A16DAF" w:rsidP="00F2780B">
      <w:pPr>
        <w:pStyle w:val="Listaszerbekezds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DAF">
        <w:rPr>
          <w:rFonts w:ascii="Times New Roman" w:hAnsi="Times New Roman" w:cs="Times New Roman"/>
          <w:b/>
          <w:sz w:val="32"/>
          <w:szCs w:val="32"/>
        </w:rPr>
        <w:t>Helyzetelemzés</w:t>
      </w:r>
    </w:p>
    <w:p w:rsidR="00A16DAF" w:rsidRDefault="00A16DAF" w:rsidP="00F2780B">
      <w:pPr>
        <w:pStyle w:val="Listaszerbekezds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71D8" w:rsidRDefault="007571D8" w:rsidP="00F2780B">
      <w:pPr>
        <w:pStyle w:val="Listaszerbekezds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6DAF" w:rsidRDefault="00A16DAF" w:rsidP="00F2780B">
      <w:pPr>
        <w:pStyle w:val="Listaszerbekezds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Külső környezet</w:t>
      </w:r>
    </w:p>
    <w:p w:rsidR="00A16DAF" w:rsidRDefault="00A16DAF" w:rsidP="00F2780B">
      <w:pPr>
        <w:pStyle w:val="Listaszerbekezds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16DAF" w:rsidRDefault="00A16DAF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Hatvan Heves megye legszélén, másik három megye határán helyezkedik el. </w:t>
      </w:r>
      <w:r w:rsidR="00DF2FD0">
        <w:rPr>
          <w:rFonts w:ascii="Times New Roman" w:hAnsi="Times New Roman" w:cs="Times New Roman"/>
          <w:sz w:val="24"/>
          <w:szCs w:val="24"/>
        </w:rPr>
        <w:t>Az iskola tanulóinak többsége heves megyei lakos, azonban a</w:t>
      </w:r>
      <w:r>
        <w:rPr>
          <w:rFonts w:ascii="Times New Roman" w:hAnsi="Times New Roman" w:cs="Times New Roman"/>
          <w:sz w:val="24"/>
          <w:szCs w:val="24"/>
        </w:rPr>
        <w:t xml:space="preserve"> város elhelyezkedése lehetővé teszi, hogy </w:t>
      </w:r>
      <w:r w:rsidR="00DF2FD0">
        <w:rPr>
          <w:rFonts w:ascii="Times New Roman" w:hAnsi="Times New Roman" w:cs="Times New Roman"/>
          <w:sz w:val="24"/>
          <w:szCs w:val="24"/>
        </w:rPr>
        <w:t>Jász-Nagykun-Szolnok megye, Nógrád</w:t>
      </w:r>
      <w:r w:rsidR="00CE6B46">
        <w:rPr>
          <w:rFonts w:ascii="Times New Roman" w:hAnsi="Times New Roman" w:cs="Times New Roman"/>
          <w:sz w:val="24"/>
          <w:szCs w:val="24"/>
        </w:rPr>
        <w:t xml:space="preserve"> megye mellett Pest megyéből is</w:t>
      </w:r>
      <w:r>
        <w:rPr>
          <w:rFonts w:ascii="Times New Roman" w:hAnsi="Times New Roman" w:cs="Times New Roman"/>
          <w:sz w:val="24"/>
          <w:szCs w:val="24"/>
        </w:rPr>
        <w:t xml:space="preserve"> fogadhassunk tanulókat. Az iskola alapvető célja a térség gazdálkodó szervezet</w:t>
      </w:r>
      <w:r w:rsidR="00F2780B">
        <w:rPr>
          <w:rFonts w:ascii="Times New Roman" w:hAnsi="Times New Roman" w:cs="Times New Roman"/>
          <w:sz w:val="24"/>
          <w:szCs w:val="24"/>
        </w:rPr>
        <w:t>ei részéről jelentkező</w:t>
      </w:r>
      <w:r>
        <w:rPr>
          <w:rFonts w:ascii="Times New Roman" w:hAnsi="Times New Roman" w:cs="Times New Roman"/>
          <w:sz w:val="24"/>
          <w:szCs w:val="24"/>
        </w:rPr>
        <w:t xml:space="preserve"> munkaerő</w:t>
      </w:r>
      <w:r w:rsidR="00F278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piaci igény</w:t>
      </w:r>
      <w:r w:rsidR="00F2780B">
        <w:rPr>
          <w:rFonts w:ascii="Times New Roman" w:hAnsi="Times New Roman" w:cs="Times New Roman"/>
          <w:sz w:val="24"/>
          <w:szCs w:val="24"/>
        </w:rPr>
        <w:t>ek kiszolgálása.</w:t>
      </w:r>
    </w:p>
    <w:p w:rsidR="00F2780B" w:rsidRDefault="00F445D1" w:rsidP="002F2A7A">
      <w:pPr>
        <w:pStyle w:val="Listaszerbekezds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térség gazdasági helyzetének elemzése során a szükséges adatok forrásaként a Top 50 Heves megye gazdasága az elmúlt 12 évben 2019-es kiadványát használom.</w:t>
      </w:r>
      <w:r w:rsidR="002F2A7A">
        <w:rPr>
          <w:rFonts w:ascii="Times New Roman" w:hAnsi="Times New Roman" w:cs="Times New Roman"/>
          <w:sz w:val="24"/>
          <w:szCs w:val="24"/>
        </w:rPr>
        <w:t xml:space="preserve"> </w:t>
      </w:r>
      <w:r w:rsidR="00F2780B" w:rsidRPr="002F2A7A">
        <w:rPr>
          <w:rFonts w:ascii="Times New Roman" w:hAnsi="Times New Roman" w:cs="Times New Roman"/>
          <w:sz w:val="24"/>
          <w:szCs w:val="24"/>
        </w:rPr>
        <w:t xml:space="preserve">Az iskola az észak-magyarországi régióban helyezkedik el, gazdasági-szociális mutatói jobbak, mint a régió átlaga. </w:t>
      </w:r>
      <w:r w:rsidR="00F2780B" w:rsidRPr="00BE7A1D">
        <w:rPr>
          <w:rFonts w:ascii="Times New Roman" w:hAnsi="Times New Roman" w:cs="Times New Roman"/>
          <w:sz w:val="24"/>
          <w:szCs w:val="24"/>
        </w:rPr>
        <w:t>A térség gazdasági életében meghatározó szerepet játszik az autópálya közelsége és ezzel együtt a többnyire multinacionális nagyvállalatok jelenléte.</w:t>
      </w:r>
    </w:p>
    <w:p w:rsidR="00E97EBD" w:rsidRDefault="00E97EBD" w:rsidP="00E97EB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7EBD">
        <w:rPr>
          <w:rFonts w:ascii="Times New Roman" w:hAnsi="Times New Roman" w:cs="Times New Roman"/>
          <w:sz w:val="24"/>
          <w:szCs w:val="24"/>
        </w:rPr>
        <w:t>A gazdasági életben a társas vállalkozások szerepe meg</w:t>
      </w:r>
      <w:r>
        <w:rPr>
          <w:rFonts w:ascii="Times New Roman" w:hAnsi="Times New Roman" w:cs="Times New Roman"/>
          <w:sz w:val="24"/>
          <w:szCs w:val="24"/>
        </w:rPr>
        <w:t xml:space="preserve">határozó Heves megyében. A 2018. </w:t>
      </w:r>
      <w:r w:rsidRPr="00E97EBD">
        <w:rPr>
          <w:rFonts w:ascii="Times New Roman" w:hAnsi="Times New Roman" w:cs="Times New Roman"/>
          <w:sz w:val="24"/>
          <w:szCs w:val="24"/>
        </w:rPr>
        <w:t xml:space="preserve">évben már a nettó árbevétel aránya meghaladta </w:t>
      </w:r>
      <w:r>
        <w:rPr>
          <w:rFonts w:ascii="Times New Roman" w:hAnsi="Times New Roman" w:cs="Times New Roman"/>
          <w:sz w:val="24"/>
          <w:szCs w:val="24"/>
        </w:rPr>
        <w:t>a 95%-ot ebben a szegmensben. A fennmaradó 5%-ot</w:t>
      </w:r>
      <w:r w:rsidRPr="00E97EBD">
        <w:rPr>
          <w:rFonts w:ascii="Times New Roman" w:hAnsi="Times New Roman" w:cs="Times New Roman"/>
          <w:sz w:val="24"/>
          <w:szCs w:val="24"/>
        </w:rPr>
        <w:t xml:space="preserve"> az egyéni vállalkozók, illetve a különböző eg</w:t>
      </w:r>
      <w:r>
        <w:rPr>
          <w:rFonts w:ascii="Times New Roman" w:hAnsi="Times New Roman" w:cs="Times New Roman"/>
          <w:sz w:val="24"/>
          <w:szCs w:val="24"/>
        </w:rPr>
        <w:t xml:space="preserve">yszerű adózási módot választott </w:t>
      </w:r>
      <w:r w:rsidRPr="00E97EBD">
        <w:rPr>
          <w:rFonts w:ascii="Times New Roman" w:hAnsi="Times New Roman" w:cs="Times New Roman"/>
          <w:sz w:val="24"/>
          <w:szCs w:val="24"/>
        </w:rPr>
        <w:t>vállalkozók tevékenysége adta.</w:t>
      </w:r>
      <w:r w:rsidR="00507E98">
        <w:rPr>
          <w:rFonts w:ascii="Times New Roman" w:hAnsi="Times New Roman" w:cs="Times New Roman"/>
          <w:sz w:val="24"/>
          <w:szCs w:val="24"/>
        </w:rPr>
        <w:t xml:space="preserve"> </w:t>
      </w:r>
      <w:r w:rsidR="00507E98" w:rsidRPr="00C44814">
        <w:rPr>
          <w:rFonts w:ascii="Times New Roman" w:hAnsi="Times New Roman" w:cs="Times New Roman"/>
          <w:sz w:val="24"/>
          <w:szCs w:val="24"/>
        </w:rPr>
        <w:t xml:space="preserve">2018-ban megyei szinten a nemzetgazdasági átlagot meghaladóan (3,7 százalék) még az előző évhez képest 6%-kal növekedett a nettó árbevétele a megyei székhelyű társaságoknak. </w:t>
      </w:r>
    </w:p>
    <w:p w:rsidR="00161423" w:rsidRPr="007571D8" w:rsidRDefault="00161423" w:rsidP="00E97EB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Heves megye gazdasági életében a társas vállalkozások 0,7 %-át kitevő, legnagyobb 50 társaságnak kiemelt szerepe van. </w:t>
      </w:r>
      <w:r w:rsidRPr="00161423">
        <w:rPr>
          <w:rFonts w:ascii="Times New Roman" w:hAnsi="Times New Roman" w:cs="Times New Roman"/>
          <w:sz w:val="24"/>
          <w:szCs w:val="24"/>
        </w:rPr>
        <w:t>Heves megye legnagyobb 50 társas vállalkozása fogla</w:t>
      </w:r>
      <w:r>
        <w:rPr>
          <w:rFonts w:ascii="Times New Roman" w:hAnsi="Times New Roman" w:cs="Times New Roman"/>
          <w:sz w:val="24"/>
          <w:szCs w:val="24"/>
        </w:rPr>
        <w:t>lkoztatja a foglalkoztatottak 45,7</w:t>
      </w:r>
      <w:r w:rsidRPr="00161423">
        <w:rPr>
          <w:rFonts w:ascii="Times New Roman" w:hAnsi="Times New Roman" w:cs="Times New Roman"/>
          <w:sz w:val="24"/>
          <w:szCs w:val="24"/>
        </w:rPr>
        <w:t>%-át</w:t>
      </w:r>
      <w:r w:rsidR="007571D8">
        <w:rPr>
          <w:rFonts w:ascii="Calibri" w:hAnsi="Calibri" w:cs="Calibri"/>
          <w:sz w:val="24"/>
          <w:szCs w:val="24"/>
        </w:rPr>
        <w:t xml:space="preserve">. </w:t>
      </w:r>
      <w:r w:rsidR="007571D8" w:rsidRPr="007571D8">
        <w:rPr>
          <w:rFonts w:ascii="Times New Roman" w:hAnsi="Times New Roman" w:cs="Times New Roman"/>
          <w:sz w:val="24"/>
          <w:szCs w:val="24"/>
        </w:rPr>
        <w:t>Az összes</w:t>
      </w:r>
      <w:r w:rsidR="007571D8">
        <w:rPr>
          <w:rFonts w:ascii="Calibri" w:hAnsi="Calibri" w:cs="Calibri"/>
          <w:sz w:val="24"/>
          <w:szCs w:val="24"/>
        </w:rPr>
        <w:t xml:space="preserve"> </w:t>
      </w:r>
      <w:r w:rsidR="007571D8">
        <w:rPr>
          <w:rFonts w:ascii="Times New Roman" w:hAnsi="Times New Roman" w:cs="Times New Roman"/>
          <w:sz w:val="24"/>
          <w:szCs w:val="24"/>
        </w:rPr>
        <w:t>jegyzett tőke 57,8 %-</w:t>
      </w:r>
      <w:proofErr w:type="gramStart"/>
      <w:r w:rsidR="007571D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571D8">
        <w:rPr>
          <w:rFonts w:ascii="Times New Roman" w:hAnsi="Times New Roman" w:cs="Times New Roman"/>
          <w:sz w:val="24"/>
          <w:szCs w:val="24"/>
        </w:rPr>
        <w:t xml:space="preserve"> összpontosul a társaságoknál, azonban a külföldi tőkéből való részesedésük ennél jóval nagyobb: 80,1%.</w:t>
      </w:r>
    </w:p>
    <w:p w:rsidR="00161423" w:rsidRDefault="0068615D" w:rsidP="00E97EB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járások gazdasági fejlettségbeli különbségeit a legnagyobb 50 társaság igen jelentős mértékben határozza meg. A TOP 50-es körbe tartozó társaságok 84%-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három kiemelt (egri 19 db, gyöngyösi 11 db, hatvani 12db) járásban tevékenykedik még a fennmaradó 16 % a további négy járásban.</w:t>
      </w:r>
    </w:p>
    <w:p w:rsidR="00730E82" w:rsidRDefault="00730E82" w:rsidP="0068615D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15D" w:rsidRDefault="00C44814" w:rsidP="0068615D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08AF6044" wp14:editId="4B0CCD65">
            <wp:extent cx="5615353" cy="2910593"/>
            <wp:effectExtent l="0" t="0" r="0" b="4445"/>
            <wp:docPr id="2195" name="Picture 2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5" name="Picture 21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9875" cy="291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15D" w:rsidRDefault="0068615D" w:rsidP="0068615D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15D" w:rsidRDefault="00E95E76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Duális képzőhelyeket figyelembe véve a DISZI 87 </w:t>
      </w:r>
      <w:r w:rsidR="00513CE2">
        <w:rPr>
          <w:rFonts w:ascii="Times New Roman" w:hAnsi="Times New Roman" w:cs="Times New Roman"/>
          <w:sz w:val="24"/>
          <w:szCs w:val="24"/>
        </w:rPr>
        <w:t xml:space="preserve">db </w:t>
      </w:r>
      <w:r>
        <w:rPr>
          <w:rFonts w:ascii="Times New Roman" w:hAnsi="Times New Roman" w:cs="Times New Roman"/>
          <w:sz w:val="24"/>
          <w:szCs w:val="24"/>
        </w:rPr>
        <w:t xml:space="preserve">gazdálkodó szervezettel van kapcsolatban, a vállalkozások 67%-a Heves megyében található összesen 58 db, még a fennmaradó 33% Jász-Nagykun-Szolnok megye, Nógrád megye és Pest megye között oszlik szét. </w:t>
      </w:r>
      <w:r w:rsidR="00163CD0">
        <w:rPr>
          <w:rFonts w:ascii="Times New Roman" w:hAnsi="Times New Roman" w:cs="Times New Roman"/>
          <w:sz w:val="24"/>
          <w:szCs w:val="24"/>
        </w:rPr>
        <w:t xml:space="preserve">A Top 50-es tekintetében 7 vállalkozásnál </w:t>
      </w:r>
      <w:r w:rsidR="00CD35D8">
        <w:rPr>
          <w:rFonts w:ascii="Times New Roman" w:hAnsi="Times New Roman" w:cs="Times New Roman"/>
          <w:sz w:val="24"/>
          <w:szCs w:val="24"/>
        </w:rPr>
        <w:t xml:space="preserve">összesen 60 </w:t>
      </w:r>
      <w:proofErr w:type="spellStart"/>
      <w:r w:rsidR="00CD35D8">
        <w:rPr>
          <w:rFonts w:ascii="Times New Roman" w:hAnsi="Times New Roman" w:cs="Times New Roman"/>
          <w:sz w:val="24"/>
          <w:szCs w:val="24"/>
        </w:rPr>
        <w:t>damjanichos</w:t>
      </w:r>
      <w:proofErr w:type="spellEnd"/>
      <w:r w:rsidR="00CD35D8">
        <w:rPr>
          <w:rFonts w:ascii="Times New Roman" w:hAnsi="Times New Roman" w:cs="Times New Roman"/>
          <w:sz w:val="24"/>
          <w:szCs w:val="24"/>
        </w:rPr>
        <w:t xml:space="preserve"> diák vesz részt duális képzésben</w:t>
      </w:r>
      <w:r w:rsidR="00163C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1004" w:rsidRDefault="00171004" w:rsidP="00171004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004">
        <w:rPr>
          <w:rFonts w:ascii="Times New Roman" w:hAnsi="Times New Roman" w:cs="Times New Roman"/>
          <w:sz w:val="24"/>
          <w:szCs w:val="24"/>
        </w:rPr>
        <w:t xml:space="preserve">Horváth Rudolf </w:t>
      </w:r>
      <w:proofErr w:type="spellStart"/>
      <w:r w:rsidRPr="00171004">
        <w:rPr>
          <w:rFonts w:ascii="Times New Roman" w:hAnsi="Times New Roman" w:cs="Times New Roman"/>
          <w:sz w:val="24"/>
          <w:szCs w:val="24"/>
        </w:rPr>
        <w:t>Intertransport</w:t>
      </w:r>
      <w:proofErr w:type="spellEnd"/>
      <w:r w:rsidRPr="00171004">
        <w:rPr>
          <w:rFonts w:ascii="Times New Roman" w:hAnsi="Times New Roman" w:cs="Times New Roman"/>
          <w:sz w:val="24"/>
          <w:szCs w:val="24"/>
        </w:rPr>
        <w:t xml:space="preserve"> Kft.</w:t>
      </w:r>
    </w:p>
    <w:p w:rsidR="00171004" w:rsidRDefault="00171004" w:rsidP="00171004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004">
        <w:rPr>
          <w:rFonts w:ascii="Times New Roman" w:hAnsi="Times New Roman" w:cs="Times New Roman"/>
          <w:sz w:val="24"/>
          <w:szCs w:val="24"/>
        </w:rPr>
        <w:t xml:space="preserve">Johnson </w:t>
      </w:r>
      <w:proofErr w:type="spellStart"/>
      <w:r w:rsidRPr="00171004"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 w:rsidRPr="00171004">
        <w:rPr>
          <w:rFonts w:ascii="Times New Roman" w:hAnsi="Times New Roman" w:cs="Times New Roman"/>
          <w:sz w:val="24"/>
          <w:szCs w:val="24"/>
        </w:rPr>
        <w:t xml:space="preserve"> Hatvan Kft.</w:t>
      </w:r>
    </w:p>
    <w:p w:rsidR="00171004" w:rsidRDefault="00171004" w:rsidP="00171004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004">
        <w:rPr>
          <w:rFonts w:ascii="Times New Roman" w:hAnsi="Times New Roman" w:cs="Times New Roman"/>
          <w:sz w:val="24"/>
          <w:szCs w:val="24"/>
        </w:rPr>
        <w:t>LKH Leoni Kft.</w:t>
      </w:r>
    </w:p>
    <w:p w:rsidR="00171004" w:rsidRDefault="00171004" w:rsidP="00171004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1004">
        <w:rPr>
          <w:rFonts w:ascii="Times New Roman" w:hAnsi="Times New Roman" w:cs="Times New Roman"/>
          <w:sz w:val="24"/>
          <w:szCs w:val="24"/>
        </w:rPr>
        <w:t>Novocoop</w:t>
      </w:r>
      <w:proofErr w:type="spellEnd"/>
      <w:r w:rsidRPr="00171004">
        <w:rPr>
          <w:rFonts w:ascii="Times New Roman" w:hAnsi="Times New Roman" w:cs="Times New Roman"/>
          <w:sz w:val="24"/>
          <w:szCs w:val="24"/>
        </w:rPr>
        <w:t xml:space="preserve"> Kft.</w:t>
      </w:r>
    </w:p>
    <w:p w:rsidR="00171004" w:rsidRDefault="00171004" w:rsidP="00171004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1004">
        <w:rPr>
          <w:rFonts w:ascii="Times New Roman" w:hAnsi="Times New Roman" w:cs="Times New Roman"/>
          <w:sz w:val="24"/>
          <w:szCs w:val="24"/>
        </w:rPr>
        <w:t>Qualiform</w:t>
      </w:r>
      <w:proofErr w:type="spellEnd"/>
      <w:r w:rsidRPr="0017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004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171004">
        <w:rPr>
          <w:rFonts w:ascii="Times New Roman" w:hAnsi="Times New Roman" w:cs="Times New Roman"/>
          <w:sz w:val="24"/>
          <w:szCs w:val="24"/>
        </w:rPr>
        <w:t>.</w:t>
      </w:r>
    </w:p>
    <w:p w:rsidR="00171004" w:rsidRDefault="00171004" w:rsidP="00171004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004">
        <w:rPr>
          <w:rFonts w:ascii="Times New Roman" w:hAnsi="Times New Roman" w:cs="Times New Roman"/>
          <w:sz w:val="24"/>
          <w:szCs w:val="24"/>
        </w:rPr>
        <w:t>Robert Bosch Elektronika Kft.</w:t>
      </w:r>
    </w:p>
    <w:p w:rsidR="00CF2B61" w:rsidRDefault="00CF2B61" w:rsidP="00CF2B61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B61">
        <w:rPr>
          <w:rFonts w:ascii="Times New Roman" w:hAnsi="Times New Roman" w:cs="Times New Roman"/>
          <w:sz w:val="24"/>
          <w:szCs w:val="24"/>
        </w:rPr>
        <w:t>SBS Kft.</w:t>
      </w:r>
    </w:p>
    <w:p w:rsidR="00E95E76" w:rsidRDefault="00513CE2" w:rsidP="00E95E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megye gazdaságának ágazati szerkezetére jellemző néhány ágazat, ezen belül néhány társaság meghatározó súlya. A gazdasági ágak közül változatlanul a gépipar, a kereskedelem és az energia-, víztermelés és hulladékgazdálkodás bír kiemelt jelentőséggel. Bár együttes részesedésük a főbb teljesítménymutatókban kismértékben csökkent 67,9%-ról 57</w:t>
      </w:r>
      <w:r w:rsidR="007C1E6E">
        <w:rPr>
          <w:rFonts w:ascii="Times New Roman" w:hAnsi="Times New Roman" w:cs="Times New Roman"/>
          <w:sz w:val="24"/>
          <w:szCs w:val="24"/>
        </w:rPr>
        <w:t>,3%-ra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E6E" w:rsidRDefault="007C1E6E" w:rsidP="00E95E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Ágazatonként vizsgálva a foglalkoztatottak létszámát rendkívül vegyes a kép. A kiemelt 16 ágazatból hatban növekedés tapasztalható. A legnagyobb mértékű emelkedés (374 fő) a gépiparban következett be. Emellett jelentős 100 fő feletti bővülés tapasztalható a vegyiparban </w:t>
      </w:r>
      <w:r>
        <w:rPr>
          <w:rFonts w:ascii="Times New Roman" w:hAnsi="Times New Roman" w:cs="Times New Roman"/>
          <w:sz w:val="24"/>
          <w:szCs w:val="24"/>
        </w:rPr>
        <w:lastRenderedPageBreak/>
        <w:t>(250 fő) és az egyéb feldolgozóiparban</w:t>
      </w:r>
      <w:r w:rsidR="00AC6AC9">
        <w:rPr>
          <w:rFonts w:ascii="Times New Roman" w:hAnsi="Times New Roman" w:cs="Times New Roman"/>
          <w:sz w:val="24"/>
          <w:szCs w:val="24"/>
        </w:rPr>
        <w:t xml:space="preserve"> (102 fő). Ezzel egyidejűleg a csökkenés négy </w:t>
      </w:r>
      <w:proofErr w:type="gramStart"/>
      <w:r w:rsidR="00AC6AC9">
        <w:rPr>
          <w:rFonts w:ascii="Times New Roman" w:hAnsi="Times New Roman" w:cs="Times New Roman"/>
          <w:sz w:val="24"/>
          <w:szCs w:val="24"/>
        </w:rPr>
        <w:t>ágazatban</w:t>
      </w:r>
      <w:proofErr w:type="gramEnd"/>
      <w:r w:rsidR="00AC6AC9">
        <w:rPr>
          <w:rFonts w:ascii="Times New Roman" w:hAnsi="Times New Roman" w:cs="Times New Roman"/>
          <w:sz w:val="24"/>
          <w:szCs w:val="24"/>
        </w:rPr>
        <w:t xml:space="preserve"> a kereskedelemben, a fémfeldolgozásban, a közlekedésben és a mezőgazdaságban haladta meg a 100 főt. Az átlagos állományi létszám tekintetében továbbra is a gépiparé a vezető szerep, itt dolgozik a megyében foglalkoztatottak több, mint negyede. Sorrendben a kereskedelem és a </w:t>
      </w:r>
      <w:r w:rsidR="0034615D" w:rsidRPr="003461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414020</wp:posOffset>
                </wp:positionH>
                <wp:positionV relativeFrom="paragraph">
                  <wp:posOffset>1550035</wp:posOffset>
                </wp:positionV>
                <wp:extent cx="6719570" cy="4571365"/>
                <wp:effectExtent l="0" t="0" r="24130" b="1968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457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15D" w:rsidRDefault="0034615D" w:rsidP="0034615D">
                            <w:pPr>
                              <w:jc w:val="both"/>
                            </w:pPr>
                          </w:p>
                          <w:tbl>
                            <w:tblPr>
                              <w:tblStyle w:val="TableGrid"/>
                              <w:tblOverlap w:val="never"/>
                              <w:tblW w:w="10637" w:type="dxa"/>
                              <w:tblInd w:w="0" w:type="dxa"/>
                              <w:tblCellMar>
                                <w:top w:w="30" w:type="dxa"/>
                                <w:left w:w="87" w:type="dxa"/>
                                <w:bottom w:w="0" w:type="dxa"/>
                                <w:right w:w="86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76"/>
                              <w:gridCol w:w="1007"/>
                              <w:gridCol w:w="820"/>
                              <w:gridCol w:w="854"/>
                              <w:gridCol w:w="1053"/>
                              <w:gridCol w:w="719"/>
                              <w:gridCol w:w="1140"/>
                              <w:gridCol w:w="1187"/>
                              <w:gridCol w:w="1202"/>
                              <w:gridCol w:w="179"/>
                            </w:tblGrid>
                            <w:tr w:rsidR="0034615D" w:rsidTr="0034615D">
                              <w:trPr>
                                <w:trHeight w:val="44"/>
                              </w:trPr>
                              <w:tc>
                                <w:tcPr>
                                  <w:tcW w:w="9257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34615D" w:rsidRDefault="0034615D" w:rsidP="0034615D">
                                  <w:pPr>
                                    <w:spacing w:after="160" w:line="259" w:lineRule="auto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34615D" w:rsidRDefault="0034615D" w:rsidP="0034615D">
                                  <w:pPr>
                                    <w:spacing w:after="160" w:line="259" w:lineRule="auto"/>
                                    <w:suppressOverlap/>
                                  </w:pPr>
                                </w:p>
                              </w:tc>
                            </w:tr>
                            <w:tr w:rsidR="0034615D" w:rsidTr="00263BDB">
                              <w:trPr>
                                <w:trHeight w:val="284"/>
                              </w:trPr>
                              <w:tc>
                                <w:tcPr>
                                  <w:tcW w:w="9257" w:type="dxa"/>
                                  <w:gridSpan w:val="8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nil"/>
                                  </w:tcBorders>
                                  <w:shd w:val="clear" w:color="auto" w:fill="A3D6D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123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</w:rPr>
                                    <w:t>Járások gazdasági mutatóinak alakulása – 2018. év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FFFFFF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A3D6D3"/>
                                </w:tcPr>
                                <w:p w:rsidR="0034615D" w:rsidRDefault="0034615D" w:rsidP="0034615D">
                                  <w:pPr>
                                    <w:spacing w:after="160" w:line="259" w:lineRule="auto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34615D" w:rsidRDefault="0034615D" w:rsidP="0034615D">
                                  <w:pPr>
                                    <w:spacing w:after="160" w:line="259" w:lineRule="auto"/>
                                    <w:suppressOverlap/>
                                  </w:pPr>
                                </w:p>
                              </w:tc>
                            </w:tr>
                            <w:tr w:rsidR="0034615D" w:rsidTr="00263BDB">
                              <w:trPr>
                                <w:trHeight w:val="505"/>
                              </w:trPr>
                              <w:tc>
                                <w:tcPr>
                                  <w:tcW w:w="248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A3D6D3"/>
                                  <w:vAlign w:val="center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11"/>
                                    <w:suppressOverlap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</w:rPr>
                                    <w:t>Heves megye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A3D6D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</w:rPr>
                                    <w:t>Megye összesen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A3D6D3"/>
                                  <w:vAlign w:val="center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</w:rPr>
                                    <w:t>Egri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A3D6D3"/>
                                  <w:vAlign w:val="center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38"/>
                                    <w:suppressOverlap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</w:rPr>
                                    <w:t>Hatvani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A3D6D3"/>
                                  <w:vAlign w:val="center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30"/>
                                    <w:suppressOverlap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</w:rPr>
                                    <w:t>Gyöngyösi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A3D6D3"/>
                                  <w:vAlign w:val="center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14"/>
                                    <w:suppressOverlap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</w:rPr>
                                    <w:t>Hevesi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A3D6D3"/>
                                  <w:vAlign w:val="center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suppressOverlap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</w:rPr>
                                    <w:t>Füzesabonyi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A3D6D3"/>
                                  <w:vAlign w:val="center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25"/>
                                    <w:suppressOverlap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</w:rPr>
                                    <w:t>Pétervásárai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A3D6D3"/>
                                  <w:vAlign w:val="center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4"/>
                                    <w:suppressOverlap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</w:rPr>
                                    <w:t>Bélapátfalvai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615D" w:rsidRDefault="0034615D" w:rsidP="0034615D">
                                  <w:pPr>
                                    <w:spacing w:after="160" w:line="259" w:lineRule="auto"/>
                                    <w:suppressOverlap/>
                                  </w:pPr>
                                </w:p>
                              </w:tc>
                            </w:tr>
                            <w:tr w:rsidR="0034615D" w:rsidTr="00263BDB">
                              <w:trPr>
                                <w:trHeight w:val="284"/>
                              </w:trPr>
                              <w:tc>
                                <w:tcPr>
                                  <w:tcW w:w="248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A3D6D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11"/>
                                    <w:suppressOverlap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</w:rPr>
                                    <w:t>Vállalkozások száma, db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4D87C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6 924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2 883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932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1 774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451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418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327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615D" w:rsidRDefault="0034615D" w:rsidP="0034615D">
                                  <w:pPr>
                                    <w:spacing w:after="160" w:line="259" w:lineRule="auto"/>
                                    <w:suppressOverlap/>
                                  </w:pPr>
                                </w:p>
                              </w:tc>
                            </w:tr>
                            <w:tr w:rsidR="0034615D" w:rsidTr="00263BDB">
                              <w:trPr>
                                <w:trHeight w:val="284"/>
                              </w:trPr>
                              <w:tc>
                                <w:tcPr>
                                  <w:tcW w:w="248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A3D6D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11"/>
                                    <w:suppressOverlap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</w:rPr>
                                    <w:t>Index: 2018/2017. év, %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4D87C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97,5%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94,8%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99,9%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99,6%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7"/>
                                    <w:suppressOverlap/>
                                  </w:pPr>
                                  <w:r>
                                    <w:rPr>
                                      <w:sz w:val="18"/>
                                    </w:rPr>
                                    <w:t>106,4%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94,1%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95,9%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102,2%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615D" w:rsidRDefault="0034615D" w:rsidP="0034615D">
                                  <w:pPr>
                                    <w:spacing w:after="160" w:line="259" w:lineRule="auto"/>
                                    <w:suppressOverlap/>
                                  </w:pPr>
                                </w:p>
                              </w:tc>
                            </w:tr>
                            <w:tr w:rsidR="0034615D" w:rsidTr="00263BDB">
                              <w:trPr>
                                <w:trHeight w:val="284"/>
                              </w:trPr>
                              <w:tc>
                                <w:tcPr>
                                  <w:tcW w:w="248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A3D6D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11"/>
                                    <w:suppressOverlap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</w:rPr>
                                    <w:t>Saját tőke, M Ft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4D87C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814 774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38"/>
                                    <w:suppressOverlap/>
                                  </w:pPr>
                                  <w:r>
                                    <w:rPr>
                                      <w:sz w:val="18"/>
                                    </w:rPr>
                                    <w:t>200 765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55"/>
                                    <w:suppressOverlap/>
                                  </w:pPr>
                                  <w:r>
                                    <w:rPr>
                                      <w:sz w:val="18"/>
                                    </w:rPr>
                                    <w:t>261 685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281 369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30"/>
                                    <w:suppressOverlap/>
                                  </w:pPr>
                                  <w:r>
                                    <w:rPr>
                                      <w:sz w:val="18"/>
                                    </w:rPr>
                                    <w:t>21 593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30 309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15 309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3 744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615D" w:rsidRDefault="0034615D" w:rsidP="0034615D">
                                  <w:pPr>
                                    <w:spacing w:after="160" w:line="259" w:lineRule="auto"/>
                                    <w:suppressOverlap/>
                                  </w:pPr>
                                </w:p>
                              </w:tc>
                            </w:tr>
                            <w:tr w:rsidR="0034615D" w:rsidTr="00263BDB">
                              <w:trPr>
                                <w:trHeight w:val="284"/>
                              </w:trPr>
                              <w:tc>
                                <w:tcPr>
                                  <w:tcW w:w="248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A3D6D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11"/>
                                    <w:suppressOverlap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</w:rPr>
                                    <w:t>Index: 2018/2017. év, %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4D87C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110,2%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59"/>
                                    <w:suppressOverlap/>
                                  </w:pPr>
                                  <w:r>
                                    <w:rPr>
                                      <w:sz w:val="18"/>
                                    </w:rPr>
                                    <w:t>111,6%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76"/>
                                    <w:suppressOverlap/>
                                  </w:pPr>
                                  <w:r>
                                    <w:rPr>
                                      <w:sz w:val="18"/>
                                    </w:rPr>
                                    <w:t>110,8%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111,1%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6"/>
                                    <w:suppressOverlap/>
                                  </w:pPr>
                                  <w:r>
                                    <w:rPr>
                                      <w:sz w:val="18"/>
                                    </w:rPr>
                                    <w:t>106,2%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104,0%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92,8%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96,0%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615D" w:rsidRDefault="0034615D" w:rsidP="0034615D">
                                  <w:pPr>
                                    <w:spacing w:after="160" w:line="259" w:lineRule="auto"/>
                                    <w:suppressOverlap/>
                                  </w:pPr>
                                </w:p>
                              </w:tc>
                            </w:tr>
                            <w:tr w:rsidR="0034615D" w:rsidTr="00263BDB">
                              <w:trPr>
                                <w:trHeight w:val="284"/>
                              </w:trPr>
                              <w:tc>
                                <w:tcPr>
                                  <w:tcW w:w="248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A3D6D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11"/>
                                    <w:suppressOverlap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</w:rPr>
                                    <w:t>Nettó árbevétel, M Ft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4D87C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1 915 178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38"/>
                                    <w:suppressOverlap/>
                                  </w:pPr>
                                  <w:r>
                                    <w:rPr>
                                      <w:sz w:val="18"/>
                                    </w:rPr>
                                    <w:t>579 770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55"/>
                                    <w:suppressOverlap/>
                                  </w:pPr>
                                  <w:r>
                                    <w:rPr>
                                      <w:sz w:val="18"/>
                                    </w:rPr>
                                    <w:t>859 377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304 528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30"/>
                                    <w:suppressOverlap/>
                                  </w:pPr>
                                  <w:r>
                                    <w:rPr>
                                      <w:sz w:val="18"/>
                                    </w:rPr>
                                    <w:t>46 469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86 132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31 592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7 310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615D" w:rsidRDefault="0034615D" w:rsidP="0034615D">
                                  <w:pPr>
                                    <w:spacing w:after="160" w:line="259" w:lineRule="auto"/>
                                    <w:suppressOverlap/>
                                  </w:pPr>
                                </w:p>
                              </w:tc>
                            </w:tr>
                            <w:tr w:rsidR="0034615D" w:rsidTr="00263BDB">
                              <w:trPr>
                                <w:trHeight w:val="284"/>
                              </w:trPr>
                              <w:tc>
                                <w:tcPr>
                                  <w:tcW w:w="248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A3D6D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11"/>
                                    <w:suppressOverlap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</w:rPr>
                                    <w:t>Index:2018/2017. év, %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4D87C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106,2%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59"/>
                                    <w:suppressOverlap/>
                                  </w:pPr>
                                  <w:r>
                                    <w:rPr>
                                      <w:sz w:val="18"/>
                                    </w:rPr>
                                    <w:t>110,7%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76"/>
                                    <w:suppressOverlap/>
                                  </w:pPr>
                                  <w:r>
                                    <w:rPr>
                                      <w:sz w:val="18"/>
                                    </w:rPr>
                                    <w:t>103,3%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107,8%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6"/>
                                    <w:suppressOverlap/>
                                  </w:pPr>
                                  <w:r>
                                    <w:rPr>
                                      <w:sz w:val="18"/>
                                    </w:rPr>
                                    <w:t>110,8%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1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103,4%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1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96,3%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1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102,6%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615D" w:rsidRDefault="0034615D" w:rsidP="0034615D">
                                  <w:pPr>
                                    <w:spacing w:after="160" w:line="259" w:lineRule="auto"/>
                                    <w:suppressOverlap/>
                                  </w:pPr>
                                </w:p>
                              </w:tc>
                            </w:tr>
                            <w:tr w:rsidR="0034615D" w:rsidTr="00263BDB">
                              <w:trPr>
                                <w:trHeight w:val="284"/>
                              </w:trPr>
                              <w:tc>
                                <w:tcPr>
                                  <w:tcW w:w="248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A3D6D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11"/>
                                    <w:suppressOverlap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</w:rPr>
                                    <w:t>Export, M Ft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4D87C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1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1 164 318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38"/>
                                    <w:suppressOverlap/>
                                  </w:pPr>
                                  <w:r>
                                    <w:rPr>
                                      <w:sz w:val="18"/>
                                    </w:rPr>
                                    <w:t>370 179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55"/>
                                    <w:suppressOverlap/>
                                  </w:pPr>
                                  <w:r>
                                    <w:rPr>
                                      <w:sz w:val="18"/>
                                    </w:rPr>
                                    <w:t>693 087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1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64 450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30"/>
                                    <w:suppressOverlap/>
                                  </w:pPr>
                                  <w:r>
                                    <w:rPr>
                                      <w:sz w:val="18"/>
                                    </w:rPr>
                                    <w:t>12 046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1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9 078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1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14 558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1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920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615D" w:rsidRDefault="0034615D" w:rsidP="0034615D">
                                  <w:pPr>
                                    <w:spacing w:after="160" w:line="259" w:lineRule="auto"/>
                                    <w:suppressOverlap/>
                                  </w:pPr>
                                </w:p>
                              </w:tc>
                            </w:tr>
                            <w:tr w:rsidR="0034615D" w:rsidTr="00263BDB">
                              <w:trPr>
                                <w:trHeight w:val="284"/>
                              </w:trPr>
                              <w:tc>
                                <w:tcPr>
                                  <w:tcW w:w="248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A3D6D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11"/>
                                    <w:suppressOverlap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</w:rPr>
                                    <w:t>Index: 2018/2017. év, %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4D87C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1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108,9%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58"/>
                                    <w:suppressOverlap/>
                                  </w:pPr>
                                  <w:r>
                                    <w:rPr>
                                      <w:sz w:val="18"/>
                                    </w:rPr>
                                    <w:t>113,8%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75"/>
                                    <w:suppressOverlap/>
                                  </w:pPr>
                                  <w:r>
                                    <w:rPr>
                                      <w:sz w:val="18"/>
                                    </w:rPr>
                                    <w:t>104,1%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1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156,2%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6"/>
                                    <w:suppressOverlap/>
                                  </w:pPr>
                                  <w:r>
                                    <w:rPr>
                                      <w:sz w:val="18"/>
                                    </w:rPr>
                                    <w:t>132,3%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1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89,6%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1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93,8%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1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53,6%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615D" w:rsidRDefault="0034615D" w:rsidP="0034615D">
                                  <w:pPr>
                                    <w:spacing w:after="160" w:line="259" w:lineRule="auto"/>
                                    <w:suppressOverlap/>
                                  </w:pPr>
                                </w:p>
                              </w:tc>
                            </w:tr>
                            <w:tr w:rsidR="0034615D" w:rsidTr="00263BDB">
                              <w:trPr>
                                <w:trHeight w:val="284"/>
                              </w:trPr>
                              <w:tc>
                                <w:tcPr>
                                  <w:tcW w:w="248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A3D6D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11"/>
                                    <w:suppressOverlap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</w:rPr>
                                    <w:t>Hozzáadott érték, M Ft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4D87C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1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398 630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38"/>
                                    <w:suppressOverlap/>
                                  </w:pPr>
                                  <w:r>
                                    <w:rPr>
                                      <w:sz w:val="18"/>
                                    </w:rPr>
                                    <w:t>129 779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55"/>
                                    <w:suppressOverlap/>
                                  </w:pPr>
                                  <w:r>
                                    <w:rPr>
                                      <w:sz w:val="18"/>
                                    </w:rPr>
                                    <w:t>133 309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1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95 275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30"/>
                                    <w:suppressOverlap/>
                                  </w:pPr>
                                  <w:r>
                                    <w:rPr>
                                      <w:sz w:val="18"/>
                                    </w:rPr>
                                    <w:t>10 815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1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17 159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1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10 037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1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2 258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615D" w:rsidRDefault="0034615D" w:rsidP="0034615D">
                                  <w:pPr>
                                    <w:spacing w:after="160" w:line="259" w:lineRule="auto"/>
                                    <w:suppressOverlap/>
                                  </w:pPr>
                                </w:p>
                              </w:tc>
                            </w:tr>
                            <w:tr w:rsidR="0034615D" w:rsidTr="00263BDB">
                              <w:trPr>
                                <w:trHeight w:val="284"/>
                              </w:trPr>
                              <w:tc>
                                <w:tcPr>
                                  <w:tcW w:w="248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A3D6D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11"/>
                                    <w:suppressOverlap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</w:rPr>
                                    <w:t>Index: 2018/2017. év, %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4D87C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1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113,1%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58"/>
                                    <w:suppressOverlap/>
                                  </w:pPr>
                                  <w:r>
                                    <w:rPr>
                                      <w:sz w:val="18"/>
                                    </w:rPr>
                                    <w:t>110,7%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75"/>
                                    <w:suppressOverlap/>
                                  </w:pPr>
                                  <w:r>
                                    <w:rPr>
                                      <w:sz w:val="18"/>
                                    </w:rPr>
                                    <w:t>112,4%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1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122,9%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6"/>
                                    <w:suppressOverlap/>
                                  </w:pPr>
                                  <w:r>
                                    <w:rPr>
                                      <w:sz w:val="18"/>
                                    </w:rPr>
                                    <w:t>109,6%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1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101,8%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1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98,6%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1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111,3%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615D" w:rsidRDefault="0034615D" w:rsidP="0034615D">
                                  <w:pPr>
                                    <w:spacing w:after="160" w:line="259" w:lineRule="auto"/>
                                    <w:suppressOverlap/>
                                  </w:pPr>
                                </w:p>
                              </w:tc>
                            </w:tr>
                            <w:tr w:rsidR="0034615D" w:rsidTr="00263BDB">
                              <w:trPr>
                                <w:trHeight w:val="284"/>
                              </w:trPr>
                              <w:tc>
                                <w:tcPr>
                                  <w:tcW w:w="248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A3D6D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10"/>
                                    <w:suppressOverlap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</w:rPr>
                                    <w:t>Adózás előtti eredmény, M Ft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4D87C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1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67 864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2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22 392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2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23 396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2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14 492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2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2 135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2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4 558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2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530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2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362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615D" w:rsidRDefault="0034615D" w:rsidP="0034615D">
                                  <w:pPr>
                                    <w:spacing w:after="160" w:line="259" w:lineRule="auto"/>
                                    <w:suppressOverlap/>
                                  </w:pPr>
                                </w:p>
                              </w:tc>
                            </w:tr>
                            <w:tr w:rsidR="0034615D" w:rsidTr="00263BDB">
                              <w:trPr>
                                <w:trHeight w:val="284"/>
                              </w:trPr>
                              <w:tc>
                                <w:tcPr>
                                  <w:tcW w:w="248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A3D6D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10"/>
                                    <w:suppressOverlap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</w:rPr>
                                    <w:t>Index: 2018/2017. év, %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4D87C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2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127,4%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2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90,6%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2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91,5%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2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-246,5%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50"/>
                                    <w:suppressOverlap/>
                                  </w:pPr>
                                  <w:r>
                                    <w:rPr>
                                      <w:sz w:val="18"/>
                                    </w:rPr>
                                    <w:t>93,1%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2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105,5%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2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26,2%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2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151,5%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615D" w:rsidRDefault="0034615D" w:rsidP="0034615D">
                                  <w:pPr>
                                    <w:spacing w:after="160" w:line="259" w:lineRule="auto"/>
                                    <w:suppressOverlap/>
                                  </w:pPr>
                                </w:p>
                              </w:tc>
                            </w:tr>
                            <w:tr w:rsidR="0034615D" w:rsidTr="00263BDB">
                              <w:trPr>
                                <w:trHeight w:val="284"/>
                              </w:trPr>
                              <w:tc>
                                <w:tcPr>
                                  <w:tcW w:w="248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A3D6D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10"/>
                                    <w:suppressOverlap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</w:rPr>
                                    <w:t>Foglalkoztatottak száma, fő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4D87C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2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46 396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2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16 705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2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11 291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2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10 628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2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2 293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2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3 134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2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1 874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2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471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615D" w:rsidRDefault="0034615D" w:rsidP="0034615D">
                                  <w:pPr>
                                    <w:spacing w:after="160" w:line="259" w:lineRule="auto"/>
                                    <w:suppressOverlap/>
                                  </w:pPr>
                                </w:p>
                              </w:tc>
                            </w:tr>
                            <w:tr w:rsidR="0034615D" w:rsidTr="00263BDB">
                              <w:trPr>
                                <w:trHeight w:val="284"/>
                              </w:trPr>
                              <w:tc>
                                <w:tcPr>
                                  <w:tcW w:w="248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A3D6D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10"/>
                                    <w:suppressOverlap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</w:rPr>
                                    <w:t>Index: 2018/2017. év, %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4D87C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2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99,4%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58"/>
                                    <w:suppressOverlap/>
                                  </w:pPr>
                                  <w:r>
                                    <w:rPr>
                                      <w:sz w:val="18"/>
                                    </w:rPr>
                                    <w:t>101,0%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2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97,7%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2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100,0%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5"/>
                                    <w:suppressOverlap/>
                                  </w:pPr>
                                  <w:r>
                                    <w:rPr>
                                      <w:sz w:val="18"/>
                                    </w:rPr>
                                    <w:t>101,9%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2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96,5%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2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96,6%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2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95,0%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615D" w:rsidRDefault="0034615D" w:rsidP="0034615D">
                                  <w:pPr>
                                    <w:spacing w:after="160" w:line="259" w:lineRule="auto"/>
                                    <w:suppressOverlap/>
                                  </w:pPr>
                                </w:p>
                              </w:tc>
                            </w:tr>
                            <w:tr w:rsidR="0034615D" w:rsidTr="00263BDB">
                              <w:trPr>
                                <w:trHeight w:val="284"/>
                              </w:trPr>
                              <w:tc>
                                <w:tcPr>
                                  <w:tcW w:w="2481" w:type="dxa"/>
                                  <w:tcBorders>
                                    <w:top w:val="single" w:sz="8" w:space="0" w:color="FFFFFF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A3D6D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10"/>
                                    <w:suppressOverlap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</w:rPr>
                                    <w:t>Átlagbér, E Ft/fő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4D87C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2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3 546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2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3 376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2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4 318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2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3 763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2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2 461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2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2 470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2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2 660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nil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2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2 149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615D" w:rsidRDefault="0034615D" w:rsidP="0034615D">
                                  <w:pPr>
                                    <w:spacing w:after="160" w:line="259" w:lineRule="auto"/>
                                    <w:suppressOverlap/>
                                  </w:pPr>
                                </w:p>
                              </w:tc>
                            </w:tr>
                            <w:tr w:rsidR="0034615D" w:rsidTr="00263BDB">
                              <w:trPr>
                                <w:trHeight w:val="284"/>
                              </w:trPr>
                              <w:tc>
                                <w:tcPr>
                                  <w:tcW w:w="2481" w:type="dxa"/>
                                  <w:tcBorders>
                                    <w:top w:val="single" w:sz="8" w:space="0" w:color="FFFFFF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A3D6D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10"/>
                                    <w:suppressOverlap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</w:rPr>
                                    <w:t>Index: 2018/2017. év, %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4D87C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2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105,4%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58"/>
                                    <w:suppressOverlap/>
                                  </w:pPr>
                                  <w:r>
                                    <w:rPr>
                                      <w:sz w:val="18"/>
                                    </w:rPr>
                                    <w:t>102,4%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75"/>
                                    <w:suppressOverlap/>
                                  </w:pPr>
                                  <w:r>
                                    <w:rPr>
                                      <w:sz w:val="18"/>
                                    </w:rPr>
                                    <w:t>110,7%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2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105,0%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left="5"/>
                                    <w:suppressOverlap/>
                                  </w:pPr>
                                  <w:r>
                                    <w:rPr>
                                      <w:sz w:val="18"/>
                                    </w:rPr>
                                    <w:t>103,4%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2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100,6%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E9D0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2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105,0%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nil"/>
                                    <w:right w:val="nil"/>
                                  </w:tcBorders>
                                  <w:shd w:val="clear" w:color="auto" w:fill="F9D5B3"/>
                                </w:tcPr>
                                <w:p w:rsidR="0034615D" w:rsidRDefault="0034615D" w:rsidP="0034615D">
                                  <w:pPr>
                                    <w:spacing w:line="259" w:lineRule="auto"/>
                                    <w:ind w:right="2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107,6%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615D" w:rsidRDefault="0034615D" w:rsidP="0034615D">
                                  <w:pPr>
                                    <w:spacing w:after="160" w:line="259" w:lineRule="auto"/>
                                    <w:suppressOverlap/>
                                  </w:pPr>
                                </w:p>
                              </w:tc>
                            </w:tr>
                            <w:tr w:rsidR="0034615D" w:rsidTr="00263BDB">
                              <w:trPr>
                                <w:trHeight w:val="178"/>
                              </w:trPr>
                              <w:tc>
                                <w:tcPr>
                                  <w:tcW w:w="10460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34615D" w:rsidRDefault="0034615D" w:rsidP="0034615D">
                                  <w:pPr>
                                    <w:spacing w:after="160" w:line="259" w:lineRule="auto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615D" w:rsidRDefault="0034615D" w:rsidP="0034615D">
                                  <w:pPr>
                                    <w:spacing w:after="160" w:line="259" w:lineRule="auto"/>
                                    <w:suppressOverlap/>
                                  </w:pPr>
                                </w:p>
                              </w:tc>
                            </w:tr>
                          </w:tbl>
                          <w:p w:rsidR="0034615D" w:rsidRDefault="003461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2.6pt;margin-top:122.05pt;width:529.1pt;height:359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">
                <v:textbox>
                  <w:txbxContent>
                    <w:p w:rsidR="0034615D" w:rsidRDefault="0034615D" w:rsidP="0034615D">
                      <w:pPr>
                        <w:jc w:val="both"/>
                      </w:pPr>
                    </w:p>
                    <w:tbl>
                      <w:tblPr>
                        <w:tblStyle w:val="TableGrid"/>
                        <w:tblOverlap w:val="never"/>
                        <w:tblW w:w="10637" w:type="dxa"/>
                        <w:tblInd w:w="0" w:type="dxa"/>
                        <w:tblCellMar>
                          <w:top w:w="30" w:type="dxa"/>
                          <w:left w:w="87" w:type="dxa"/>
                          <w:bottom w:w="0" w:type="dxa"/>
                          <w:right w:w="86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76"/>
                        <w:gridCol w:w="1007"/>
                        <w:gridCol w:w="820"/>
                        <w:gridCol w:w="854"/>
                        <w:gridCol w:w="1053"/>
                        <w:gridCol w:w="719"/>
                        <w:gridCol w:w="1140"/>
                        <w:gridCol w:w="1187"/>
                        <w:gridCol w:w="1202"/>
                        <w:gridCol w:w="179"/>
                      </w:tblGrid>
                      <w:tr w:rsidR="0034615D" w:rsidTr="0034615D">
                        <w:trPr>
                          <w:trHeight w:val="44"/>
                        </w:trPr>
                        <w:tc>
                          <w:tcPr>
                            <w:tcW w:w="9257" w:type="dxa"/>
                            <w:gridSpan w:val="8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nil"/>
                            </w:tcBorders>
                            <w:shd w:val="clear" w:color="auto" w:fill="000000"/>
                          </w:tcPr>
                          <w:p w:rsidR="0034615D" w:rsidRDefault="0034615D" w:rsidP="0034615D">
                            <w:pPr>
                              <w:spacing w:after="160" w:line="259" w:lineRule="auto"/>
                              <w:suppressOverlap/>
                            </w:pPr>
                          </w:p>
                        </w:tc>
                        <w:tc>
                          <w:tcPr>
                            <w:tcW w:w="138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34615D" w:rsidRDefault="0034615D" w:rsidP="0034615D">
                            <w:pPr>
                              <w:spacing w:after="160" w:line="259" w:lineRule="auto"/>
                              <w:suppressOverlap/>
                            </w:pPr>
                          </w:p>
                        </w:tc>
                      </w:tr>
                      <w:tr w:rsidR="0034615D" w:rsidTr="00263BDB">
                        <w:trPr>
                          <w:trHeight w:val="284"/>
                        </w:trPr>
                        <w:tc>
                          <w:tcPr>
                            <w:tcW w:w="9257" w:type="dxa"/>
                            <w:gridSpan w:val="8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nil"/>
                            </w:tcBorders>
                            <w:shd w:val="clear" w:color="auto" w:fill="A3D6D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1230"/>
                              <w:suppressOverlap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</w:rPr>
                              <w:t>Járások gazdasági mutatóinak alakulása – 2018. év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8" w:space="0" w:color="FFFFFF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A3D6D3"/>
                          </w:tcPr>
                          <w:p w:rsidR="0034615D" w:rsidRDefault="0034615D" w:rsidP="0034615D">
                            <w:pPr>
                              <w:spacing w:after="160" w:line="259" w:lineRule="auto"/>
                              <w:suppressOverlap/>
                            </w:pPr>
                          </w:p>
                        </w:tc>
                        <w:tc>
                          <w:tcPr>
                            <w:tcW w:w="1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34615D" w:rsidRDefault="0034615D" w:rsidP="0034615D">
                            <w:pPr>
                              <w:spacing w:after="160" w:line="259" w:lineRule="auto"/>
                              <w:suppressOverlap/>
                            </w:pPr>
                          </w:p>
                        </w:tc>
                      </w:tr>
                      <w:tr w:rsidR="0034615D" w:rsidTr="00263BDB">
                        <w:trPr>
                          <w:trHeight w:val="505"/>
                        </w:trPr>
                        <w:tc>
                          <w:tcPr>
                            <w:tcW w:w="248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A3D6D3"/>
                            <w:vAlign w:val="center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11"/>
                              <w:suppressOverlap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</w:rPr>
                              <w:t>Heves megye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A3D6D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suppressOverlap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</w:rPr>
                              <w:t>Megye összesen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A3D6D3"/>
                            <w:vAlign w:val="center"/>
                          </w:tcPr>
                          <w:p w:rsidR="0034615D" w:rsidRDefault="0034615D" w:rsidP="0034615D">
                            <w:pPr>
                              <w:spacing w:line="259" w:lineRule="auto"/>
                              <w:suppressOverlap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</w:rPr>
                              <w:t>Egri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A3D6D3"/>
                            <w:vAlign w:val="center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38"/>
                              <w:suppressOverlap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</w:rPr>
                              <w:t>Hatvani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A3D6D3"/>
                            <w:vAlign w:val="center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30"/>
                              <w:suppressOverlap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</w:rPr>
                              <w:t>Gyöngyösi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A3D6D3"/>
                            <w:vAlign w:val="center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14"/>
                              <w:suppressOverlap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</w:rPr>
                              <w:t>Hevesi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A3D6D3"/>
                            <w:vAlign w:val="center"/>
                          </w:tcPr>
                          <w:p w:rsidR="0034615D" w:rsidRDefault="0034615D" w:rsidP="0034615D">
                            <w:pPr>
                              <w:spacing w:line="259" w:lineRule="auto"/>
                              <w:suppressOverlap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</w:rPr>
                              <w:t>Füzesabonyi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A3D6D3"/>
                            <w:vAlign w:val="center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25"/>
                              <w:suppressOverlap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</w:rPr>
                              <w:t>Pétervásárai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A3D6D3"/>
                            <w:vAlign w:val="center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4"/>
                              <w:suppressOverlap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</w:rPr>
                              <w:t>Bélapátfalvai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615D" w:rsidRDefault="0034615D" w:rsidP="0034615D">
                            <w:pPr>
                              <w:spacing w:after="160" w:line="259" w:lineRule="auto"/>
                              <w:suppressOverlap/>
                            </w:pPr>
                          </w:p>
                        </w:tc>
                      </w:tr>
                      <w:tr w:rsidR="0034615D" w:rsidTr="00263BDB">
                        <w:trPr>
                          <w:trHeight w:val="284"/>
                        </w:trPr>
                        <w:tc>
                          <w:tcPr>
                            <w:tcW w:w="248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A3D6D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11"/>
                              <w:suppressOverlap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</w:rPr>
                              <w:t>Vállalkozások száma, db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4D87C"/>
                          </w:tcPr>
                          <w:p w:rsidR="0034615D" w:rsidRDefault="0034615D" w:rsidP="0034615D">
                            <w:pPr>
                              <w:spacing w:line="259" w:lineRule="auto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6 924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2 883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932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1 774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451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418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327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615D" w:rsidRDefault="0034615D" w:rsidP="0034615D">
                            <w:pPr>
                              <w:spacing w:after="160" w:line="259" w:lineRule="auto"/>
                              <w:suppressOverlap/>
                            </w:pPr>
                          </w:p>
                        </w:tc>
                      </w:tr>
                      <w:tr w:rsidR="0034615D" w:rsidTr="00263BDB">
                        <w:trPr>
                          <w:trHeight w:val="284"/>
                        </w:trPr>
                        <w:tc>
                          <w:tcPr>
                            <w:tcW w:w="248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A3D6D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11"/>
                              <w:suppressOverlap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</w:rPr>
                              <w:t>Index: 2018/2017. év, %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4D87C"/>
                          </w:tcPr>
                          <w:p w:rsidR="0034615D" w:rsidRDefault="0034615D" w:rsidP="0034615D">
                            <w:pPr>
                              <w:spacing w:line="259" w:lineRule="auto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97,5%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94,8%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99,9%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99,6%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7"/>
                              <w:suppressOverlap/>
                            </w:pPr>
                            <w:r>
                              <w:rPr>
                                <w:sz w:val="18"/>
                              </w:rPr>
                              <w:t>106,4%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94,1%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95,9%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102,2%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615D" w:rsidRDefault="0034615D" w:rsidP="0034615D">
                            <w:pPr>
                              <w:spacing w:after="160" w:line="259" w:lineRule="auto"/>
                              <w:suppressOverlap/>
                            </w:pPr>
                          </w:p>
                        </w:tc>
                      </w:tr>
                      <w:tr w:rsidR="0034615D" w:rsidTr="00263BDB">
                        <w:trPr>
                          <w:trHeight w:val="284"/>
                        </w:trPr>
                        <w:tc>
                          <w:tcPr>
                            <w:tcW w:w="248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A3D6D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11"/>
                              <w:suppressOverlap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</w:rPr>
                              <w:t>Saját tőke, M Ft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4D87C"/>
                          </w:tcPr>
                          <w:p w:rsidR="0034615D" w:rsidRDefault="0034615D" w:rsidP="0034615D">
                            <w:pPr>
                              <w:spacing w:line="259" w:lineRule="auto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814 774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38"/>
                              <w:suppressOverlap/>
                            </w:pPr>
                            <w:r>
                              <w:rPr>
                                <w:sz w:val="18"/>
                              </w:rPr>
                              <w:t>200 765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55"/>
                              <w:suppressOverlap/>
                            </w:pPr>
                            <w:r>
                              <w:rPr>
                                <w:sz w:val="18"/>
                              </w:rPr>
                              <w:t>261 685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281 369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30"/>
                              <w:suppressOverlap/>
                            </w:pPr>
                            <w:r>
                              <w:rPr>
                                <w:sz w:val="18"/>
                              </w:rPr>
                              <w:t>21 593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30 309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15 309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3 744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615D" w:rsidRDefault="0034615D" w:rsidP="0034615D">
                            <w:pPr>
                              <w:spacing w:after="160" w:line="259" w:lineRule="auto"/>
                              <w:suppressOverlap/>
                            </w:pPr>
                          </w:p>
                        </w:tc>
                      </w:tr>
                      <w:tr w:rsidR="0034615D" w:rsidTr="00263BDB">
                        <w:trPr>
                          <w:trHeight w:val="284"/>
                        </w:trPr>
                        <w:tc>
                          <w:tcPr>
                            <w:tcW w:w="248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A3D6D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11"/>
                              <w:suppressOverlap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</w:rPr>
                              <w:t>Index: 2018/2017. év, %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4D87C"/>
                          </w:tcPr>
                          <w:p w:rsidR="0034615D" w:rsidRDefault="0034615D" w:rsidP="0034615D">
                            <w:pPr>
                              <w:spacing w:line="259" w:lineRule="auto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110,2%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59"/>
                              <w:suppressOverlap/>
                            </w:pPr>
                            <w:r>
                              <w:rPr>
                                <w:sz w:val="18"/>
                              </w:rPr>
                              <w:t>111,6%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76"/>
                              <w:suppressOverlap/>
                            </w:pPr>
                            <w:r>
                              <w:rPr>
                                <w:sz w:val="18"/>
                              </w:rPr>
                              <w:t>110,8%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111,1%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6"/>
                              <w:suppressOverlap/>
                            </w:pPr>
                            <w:r>
                              <w:rPr>
                                <w:sz w:val="18"/>
                              </w:rPr>
                              <w:t>106,2%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104,0%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92,8%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96,0%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615D" w:rsidRDefault="0034615D" w:rsidP="0034615D">
                            <w:pPr>
                              <w:spacing w:after="160" w:line="259" w:lineRule="auto"/>
                              <w:suppressOverlap/>
                            </w:pPr>
                          </w:p>
                        </w:tc>
                      </w:tr>
                      <w:tr w:rsidR="0034615D" w:rsidTr="00263BDB">
                        <w:trPr>
                          <w:trHeight w:val="284"/>
                        </w:trPr>
                        <w:tc>
                          <w:tcPr>
                            <w:tcW w:w="248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A3D6D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11"/>
                              <w:suppressOverlap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</w:rPr>
                              <w:t>Nettó árbevétel, M Ft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4D87C"/>
                          </w:tcPr>
                          <w:p w:rsidR="0034615D" w:rsidRDefault="0034615D" w:rsidP="0034615D">
                            <w:pPr>
                              <w:spacing w:line="259" w:lineRule="auto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1 915 178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38"/>
                              <w:suppressOverlap/>
                            </w:pPr>
                            <w:r>
                              <w:rPr>
                                <w:sz w:val="18"/>
                              </w:rPr>
                              <w:t>579 770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55"/>
                              <w:suppressOverlap/>
                            </w:pPr>
                            <w:r>
                              <w:rPr>
                                <w:sz w:val="18"/>
                              </w:rPr>
                              <w:t>859 377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304 528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30"/>
                              <w:suppressOverlap/>
                            </w:pPr>
                            <w:r>
                              <w:rPr>
                                <w:sz w:val="18"/>
                              </w:rPr>
                              <w:t>46 469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86 132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31 592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7 310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615D" w:rsidRDefault="0034615D" w:rsidP="0034615D">
                            <w:pPr>
                              <w:spacing w:after="160" w:line="259" w:lineRule="auto"/>
                              <w:suppressOverlap/>
                            </w:pPr>
                          </w:p>
                        </w:tc>
                      </w:tr>
                      <w:tr w:rsidR="0034615D" w:rsidTr="00263BDB">
                        <w:trPr>
                          <w:trHeight w:val="284"/>
                        </w:trPr>
                        <w:tc>
                          <w:tcPr>
                            <w:tcW w:w="248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A3D6D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11"/>
                              <w:suppressOverlap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</w:rPr>
                              <w:t>Index:2018/2017. év, %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4D87C"/>
                          </w:tcPr>
                          <w:p w:rsidR="0034615D" w:rsidRDefault="0034615D" w:rsidP="0034615D">
                            <w:pPr>
                              <w:spacing w:line="259" w:lineRule="auto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106,2%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59"/>
                              <w:suppressOverlap/>
                            </w:pPr>
                            <w:r>
                              <w:rPr>
                                <w:sz w:val="18"/>
                              </w:rPr>
                              <w:t>110,7%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76"/>
                              <w:suppressOverlap/>
                            </w:pPr>
                            <w:r>
                              <w:rPr>
                                <w:sz w:val="18"/>
                              </w:rPr>
                              <w:t>103,3%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107,8%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6"/>
                              <w:suppressOverlap/>
                            </w:pPr>
                            <w:r>
                              <w:rPr>
                                <w:sz w:val="18"/>
                              </w:rPr>
                              <w:t>110,8%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1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103,4%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1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96,3%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1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102,6%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615D" w:rsidRDefault="0034615D" w:rsidP="0034615D">
                            <w:pPr>
                              <w:spacing w:after="160" w:line="259" w:lineRule="auto"/>
                              <w:suppressOverlap/>
                            </w:pPr>
                          </w:p>
                        </w:tc>
                      </w:tr>
                      <w:tr w:rsidR="0034615D" w:rsidTr="00263BDB">
                        <w:trPr>
                          <w:trHeight w:val="284"/>
                        </w:trPr>
                        <w:tc>
                          <w:tcPr>
                            <w:tcW w:w="248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A3D6D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11"/>
                              <w:suppressOverlap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</w:rPr>
                              <w:t>Export, M Ft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4D87C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1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1 164 318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38"/>
                              <w:suppressOverlap/>
                            </w:pPr>
                            <w:r>
                              <w:rPr>
                                <w:sz w:val="18"/>
                              </w:rPr>
                              <w:t>370 179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55"/>
                              <w:suppressOverlap/>
                            </w:pPr>
                            <w:r>
                              <w:rPr>
                                <w:sz w:val="18"/>
                              </w:rPr>
                              <w:t>693 087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1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64 450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30"/>
                              <w:suppressOverlap/>
                            </w:pPr>
                            <w:r>
                              <w:rPr>
                                <w:sz w:val="18"/>
                              </w:rPr>
                              <w:t>12 046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1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9 078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1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14 558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1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920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615D" w:rsidRDefault="0034615D" w:rsidP="0034615D">
                            <w:pPr>
                              <w:spacing w:after="160" w:line="259" w:lineRule="auto"/>
                              <w:suppressOverlap/>
                            </w:pPr>
                          </w:p>
                        </w:tc>
                      </w:tr>
                      <w:tr w:rsidR="0034615D" w:rsidTr="00263BDB">
                        <w:trPr>
                          <w:trHeight w:val="284"/>
                        </w:trPr>
                        <w:tc>
                          <w:tcPr>
                            <w:tcW w:w="248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A3D6D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11"/>
                              <w:suppressOverlap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</w:rPr>
                              <w:t>Index: 2018/2017. év, %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4D87C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1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108,9%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58"/>
                              <w:suppressOverlap/>
                            </w:pPr>
                            <w:r>
                              <w:rPr>
                                <w:sz w:val="18"/>
                              </w:rPr>
                              <w:t>113,8%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75"/>
                              <w:suppressOverlap/>
                            </w:pPr>
                            <w:r>
                              <w:rPr>
                                <w:sz w:val="18"/>
                              </w:rPr>
                              <w:t>104,1%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1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156,2%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6"/>
                              <w:suppressOverlap/>
                            </w:pPr>
                            <w:r>
                              <w:rPr>
                                <w:sz w:val="18"/>
                              </w:rPr>
                              <w:t>132,3%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1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89,6%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1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93,8%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1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53,6%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615D" w:rsidRDefault="0034615D" w:rsidP="0034615D">
                            <w:pPr>
                              <w:spacing w:after="160" w:line="259" w:lineRule="auto"/>
                              <w:suppressOverlap/>
                            </w:pPr>
                          </w:p>
                        </w:tc>
                      </w:tr>
                      <w:tr w:rsidR="0034615D" w:rsidTr="00263BDB">
                        <w:trPr>
                          <w:trHeight w:val="284"/>
                        </w:trPr>
                        <w:tc>
                          <w:tcPr>
                            <w:tcW w:w="248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A3D6D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11"/>
                              <w:suppressOverlap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</w:rPr>
                              <w:t>Hozzáadott érték, M Ft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4D87C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1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398 630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38"/>
                              <w:suppressOverlap/>
                            </w:pPr>
                            <w:r>
                              <w:rPr>
                                <w:sz w:val="18"/>
                              </w:rPr>
                              <w:t>129 779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55"/>
                              <w:suppressOverlap/>
                            </w:pPr>
                            <w:r>
                              <w:rPr>
                                <w:sz w:val="18"/>
                              </w:rPr>
                              <w:t>133 309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1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95 275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30"/>
                              <w:suppressOverlap/>
                            </w:pPr>
                            <w:r>
                              <w:rPr>
                                <w:sz w:val="18"/>
                              </w:rPr>
                              <w:t>10 815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1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17 159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1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10 037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1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2 258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615D" w:rsidRDefault="0034615D" w:rsidP="0034615D">
                            <w:pPr>
                              <w:spacing w:after="160" w:line="259" w:lineRule="auto"/>
                              <w:suppressOverlap/>
                            </w:pPr>
                          </w:p>
                        </w:tc>
                      </w:tr>
                      <w:tr w:rsidR="0034615D" w:rsidTr="00263BDB">
                        <w:trPr>
                          <w:trHeight w:val="284"/>
                        </w:trPr>
                        <w:tc>
                          <w:tcPr>
                            <w:tcW w:w="248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A3D6D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11"/>
                              <w:suppressOverlap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</w:rPr>
                              <w:t>Index: 2018/2017. év, %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4D87C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1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113,1%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58"/>
                              <w:suppressOverlap/>
                            </w:pPr>
                            <w:r>
                              <w:rPr>
                                <w:sz w:val="18"/>
                              </w:rPr>
                              <w:t>110,7%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75"/>
                              <w:suppressOverlap/>
                            </w:pPr>
                            <w:r>
                              <w:rPr>
                                <w:sz w:val="18"/>
                              </w:rPr>
                              <w:t>112,4%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1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122,9%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6"/>
                              <w:suppressOverlap/>
                            </w:pPr>
                            <w:r>
                              <w:rPr>
                                <w:sz w:val="18"/>
                              </w:rPr>
                              <w:t>109,6%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1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101,8%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1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98,6%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1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111,3%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615D" w:rsidRDefault="0034615D" w:rsidP="0034615D">
                            <w:pPr>
                              <w:spacing w:after="160" w:line="259" w:lineRule="auto"/>
                              <w:suppressOverlap/>
                            </w:pPr>
                          </w:p>
                        </w:tc>
                      </w:tr>
                      <w:tr w:rsidR="0034615D" w:rsidTr="00263BDB">
                        <w:trPr>
                          <w:trHeight w:val="284"/>
                        </w:trPr>
                        <w:tc>
                          <w:tcPr>
                            <w:tcW w:w="248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A3D6D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10"/>
                              <w:suppressOverlap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</w:rPr>
                              <w:t>Adózás előtti eredmény, M Ft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4D87C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1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67 864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2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22 392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2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23 396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2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14 492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2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2 135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2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4 558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2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530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2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362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615D" w:rsidRDefault="0034615D" w:rsidP="0034615D">
                            <w:pPr>
                              <w:spacing w:after="160" w:line="259" w:lineRule="auto"/>
                              <w:suppressOverlap/>
                            </w:pPr>
                          </w:p>
                        </w:tc>
                      </w:tr>
                      <w:tr w:rsidR="0034615D" w:rsidTr="00263BDB">
                        <w:trPr>
                          <w:trHeight w:val="284"/>
                        </w:trPr>
                        <w:tc>
                          <w:tcPr>
                            <w:tcW w:w="248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A3D6D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10"/>
                              <w:suppressOverlap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</w:rPr>
                              <w:t>Index: 2018/2017. év, %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4D87C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2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127,4%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2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90,6%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2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91,5%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2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-246,5%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50"/>
                              <w:suppressOverlap/>
                            </w:pPr>
                            <w:r>
                              <w:rPr>
                                <w:sz w:val="18"/>
                              </w:rPr>
                              <w:t>93,1%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2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105,5%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2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26,2%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2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151,5%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615D" w:rsidRDefault="0034615D" w:rsidP="0034615D">
                            <w:pPr>
                              <w:spacing w:after="160" w:line="259" w:lineRule="auto"/>
                              <w:suppressOverlap/>
                            </w:pPr>
                          </w:p>
                        </w:tc>
                      </w:tr>
                      <w:tr w:rsidR="0034615D" w:rsidTr="00263BDB">
                        <w:trPr>
                          <w:trHeight w:val="284"/>
                        </w:trPr>
                        <w:tc>
                          <w:tcPr>
                            <w:tcW w:w="248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A3D6D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10"/>
                              <w:suppressOverlap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</w:rPr>
                              <w:t>Foglalkoztatottak száma, fő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4D87C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2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46 396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2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16 705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2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11 291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2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10 628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2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2 293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2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3 134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2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1 874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2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471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615D" w:rsidRDefault="0034615D" w:rsidP="0034615D">
                            <w:pPr>
                              <w:spacing w:after="160" w:line="259" w:lineRule="auto"/>
                              <w:suppressOverlap/>
                            </w:pPr>
                          </w:p>
                        </w:tc>
                      </w:tr>
                      <w:tr w:rsidR="0034615D" w:rsidTr="00263BDB">
                        <w:trPr>
                          <w:trHeight w:val="284"/>
                        </w:trPr>
                        <w:tc>
                          <w:tcPr>
                            <w:tcW w:w="248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A3D6D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10"/>
                              <w:suppressOverlap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</w:rPr>
                              <w:t>Index: 2018/2017. év, %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4D87C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2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99,4%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58"/>
                              <w:suppressOverlap/>
                            </w:pPr>
                            <w:r>
                              <w:rPr>
                                <w:sz w:val="18"/>
                              </w:rPr>
                              <w:t>101,0%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2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97,7%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2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100,0%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5"/>
                              <w:suppressOverlap/>
                            </w:pPr>
                            <w:r>
                              <w:rPr>
                                <w:sz w:val="18"/>
                              </w:rPr>
                              <w:t>101,9%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2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96,5%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2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96,6%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2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95,0%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615D" w:rsidRDefault="0034615D" w:rsidP="0034615D">
                            <w:pPr>
                              <w:spacing w:after="160" w:line="259" w:lineRule="auto"/>
                              <w:suppressOverlap/>
                            </w:pPr>
                          </w:p>
                        </w:tc>
                      </w:tr>
                      <w:tr w:rsidR="0034615D" w:rsidTr="00263BDB">
                        <w:trPr>
                          <w:trHeight w:val="284"/>
                        </w:trPr>
                        <w:tc>
                          <w:tcPr>
                            <w:tcW w:w="2481" w:type="dxa"/>
                            <w:tcBorders>
                              <w:top w:val="single" w:sz="8" w:space="0" w:color="FFFFFF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A3D6D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10"/>
                              <w:suppressOverlap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</w:rPr>
                              <w:t>Átlagbér, E Ft/fő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4D87C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2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3 546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2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3 376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2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4 318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2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3 763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2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2 461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2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2 470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2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2 660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nil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2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2 149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615D" w:rsidRDefault="0034615D" w:rsidP="0034615D">
                            <w:pPr>
                              <w:spacing w:after="160" w:line="259" w:lineRule="auto"/>
                              <w:suppressOverlap/>
                            </w:pPr>
                          </w:p>
                        </w:tc>
                      </w:tr>
                      <w:tr w:rsidR="0034615D" w:rsidTr="00263BDB">
                        <w:trPr>
                          <w:trHeight w:val="284"/>
                        </w:trPr>
                        <w:tc>
                          <w:tcPr>
                            <w:tcW w:w="2481" w:type="dxa"/>
                            <w:tcBorders>
                              <w:top w:val="single" w:sz="8" w:space="0" w:color="FFFFFF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A3D6D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10"/>
                              <w:suppressOverlap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</w:rPr>
                              <w:t>Index: 2018/2017. év, %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4D87C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2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105,4%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58"/>
                              <w:suppressOverlap/>
                            </w:pPr>
                            <w:r>
                              <w:rPr>
                                <w:sz w:val="18"/>
                              </w:rPr>
                              <w:t>102,4%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75"/>
                              <w:suppressOverlap/>
                            </w:pPr>
                            <w:r>
                              <w:rPr>
                                <w:sz w:val="18"/>
                              </w:rPr>
                              <w:t>110,7%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2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105,0%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left="5"/>
                              <w:suppressOverlap/>
                            </w:pPr>
                            <w:r>
                              <w:rPr>
                                <w:sz w:val="18"/>
                              </w:rPr>
                              <w:t>103,4%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2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100,6%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E9D0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2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105,0%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nil"/>
                              <w:right w:val="nil"/>
                            </w:tcBorders>
                            <w:shd w:val="clear" w:color="auto" w:fill="F9D5B3"/>
                          </w:tcPr>
                          <w:p w:rsidR="0034615D" w:rsidRDefault="0034615D" w:rsidP="0034615D">
                            <w:pPr>
                              <w:spacing w:line="259" w:lineRule="auto"/>
                              <w:ind w:right="2"/>
                              <w:suppressOverl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107,6%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615D" w:rsidRDefault="0034615D" w:rsidP="0034615D">
                            <w:pPr>
                              <w:spacing w:after="160" w:line="259" w:lineRule="auto"/>
                              <w:suppressOverlap/>
                            </w:pPr>
                          </w:p>
                        </w:tc>
                      </w:tr>
                      <w:tr w:rsidR="0034615D" w:rsidTr="00263BDB">
                        <w:trPr>
                          <w:trHeight w:val="178"/>
                        </w:trPr>
                        <w:tc>
                          <w:tcPr>
                            <w:tcW w:w="10460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34615D" w:rsidRDefault="0034615D" w:rsidP="0034615D">
                            <w:pPr>
                              <w:spacing w:after="160" w:line="259" w:lineRule="auto"/>
                              <w:suppressOverlap/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615D" w:rsidRDefault="0034615D" w:rsidP="0034615D">
                            <w:pPr>
                              <w:spacing w:after="160" w:line="259" w:lineRule="auto"/>
                              <w:suppressOverlap/>
                            </w:pPr>
                          </w:p>
                        </w:tc>
                      </w:tr>
                    </w:tbl>
                    <w:p w:rsidR="0034615D" w:rsidRDefault="0034615D"/>
                  </w:txbxContent>
                </v:textbox>
                <w10:wrap type="square" anchorx="page"/>
              </v:shape>
            </w:pict>
          </mc:Fallback>
        </mc:AlternateContent>
      </w:r>
      <w:r w:rsidR="00AC6AC9">
        <w:rPr>
          <w:rFonts w:ascii="Times New Roman" w:hAnsi="Times New Roman" w:cs="Times New Roman"/>
          <w:sz w:val="24"/>
          <w:szCs w:val="24"/>
        </w:rPr>
        <w:t>nem anyagi ágak követik a többi ágazat súlya 10 százalék alatti.</w:t>
      </w:r>
    </w:p>
    <w:p w:rsidR="0034615D" w:rsidRDefault="0034615D" w:rsidP="003461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615D" w:rsidRPr="0034615D" w:rsidRDefault="00AC6AC9" w:rsidP="003461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Heves megyében hét járást határoltak e</w:t>
      </w:r>
      <w:r w:rsidR="0034615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, melyek között gazdasági téren jelentős különbségek mutatkoznak. A három fejlett járás, az egri, a hatvan és a gyöngyösi gazdasági súlya meghatározó, ami abban mutatkozik meg, hogy még a lakosok 69%-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él a hozzájuk tartozó településeken addig ebben a három kistérségben működik a </w:t>
      </w:r>
      <w:r w:rsidR="0098036B">
        <w:rPr>
          <w:rFonts w:ascii="Times New Roman" w:hAnsi="Times New Roman" w:cs="Times New Roman"/>
          <w:sz w:val="24"/>
          <w:szCs w:val="24"/>
        </w:rPr>
        <w:t>társaságok nyolctizede. Heves megyében átlagosan ezer főre 24 társas vállalkozás jutott, a fejlett területek átlaga 27. A hatvani járásban 932 db vállalkozás működik a foglalkoztatottak száma 11291 fő. Az egy lakosra jutó nettó árbevétel, export, hozzáadott érték valamint a saját tőke a Hatvani járásban a legmagasabb.</w:t>
      </w:r>
      <w:bookmarkStart w:id="0" w:name="_GoBack"/>
      <w:bookmarkEnd w:id="0"/>
    </w:p>
    <w:p w:rsidR="00730E82" w:rsidRDefault="00730E82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30E82">
        <w:rPr>
          <w:rFonts w:ascii="Times New Roman" w:hAnsi="Times New Roman" w:cs="Times New Roman"/>
          <w:b/>
          <w:sz w:val="32"/>
          <w:szCs w:val="32"/>
        </w:rPr>
        <w:lastRenderedPageBreak/>
        <w:t>Belső környezet</w:t>
      </w:r>
    </w:p>
    <w:p w:rsidR="00730E82" w:rsidRDefault="00730E82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30E82" w:rsidRDefault="00730E82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Humán erőforrás</w:t>
      </w:r>
    </w:p>
    <w:p w:rsidR="00730E82" w:rsidRDefault="00730E82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30E82" w:rsidRDefault="00730E82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0E82">
        <w:rPr>
          <w:rFonts w:ascii="Times New Roman" w:hAnsi="Times New Roman" w:cs="Times New Roman"/>
          <w:b/>
          <w:i/>
          <w:sz w:val="24"/>
          <w:szCs w:val="24"/>
        </w:rPr>
        <w:t>A tantestület</w:t>
      </w:r>
    </w:p>
    <w:p w:rsidR="009427D7" w:rsidRDefault="009427D7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30E82" w:rsidRDefault="00730E82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tantestület összetétele és szerkezete megfelelő az alapító okiratban meghatározott feladatokra. Az iskola a vállalt képzésekhez megfelelően képzett </w:t>
      </w:r>
      <w:r w:rsidR="00E85D31">
        <w:rPr>
          <w:rFonts w:ascii="Times New Roman" w:hAnsi="Times New Roman" w:cs="Times New Roman"/>
          <w:sz w:val="24"/>
          <w:szCs w:val="24"/>
        </w:rPr>
        <w:t>pedagógusokkal rendelkezik, azokon a területeken jelentkezik pedagógus hiány, amelyek országosan is.</w:t>
      </w:r>
      <w:r w:rsidR="009427D7">
        <w:rPr>
          <w:rFonts w:ascii="Times New Roman" w:hAnsi="Times New Roman" w:cs="Times New Roman"/>
          <w:sz w:val="24"/>
          <w:szCs w:val="24"/>
        </w:rPr>
        <w:t xml:space="preserve"> </w:t>
      </w:r>
      <w:r w:rsidR="00885FDB">
        <w:rPr>
          <w:rFonts w:ascii="Times New Roman" w:hAnsi="Times New Roman" w:cs="Times New Roman"/>
          <w:sz w:val="24"/>
          <w:szCs w:val="24"/>
        </w:rPr>
        <w:t>A pedagógusok többsége két szakkal és mesterszakos végzettséggel rendelkezik.</w:t>
      </w:r>
    </w:p>
    <w:p w:rsidR="00885FDB" w:rsidRPr="008B4E9A" w:rsidRDefault="00885FDB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9A">
        <w:rPr>
          <w:rFonts w:ascii="Times New Roman" w:hAnsi="Times New Roman" w:cs="Times New Roman"/>
          <w:sz w:val="24"/>
          <w:szCs w:val="24"/>
        </w:rPr>
        <w:t>Az engedélyezett pedagóguslétszám</w:t>
      </w:r>
      <w:proofErr w:type="gramStart"/>
      <w:r w:rsidRPr="008B4E9A">
        <w:rPr>
          <w:rFonts w:ascii="Times New Roman" w:hAnsi="Times New Roman" w:cs="Times New Roman"/>
          <w:sz w:val="24"/>
          <w:szCs w:val="24"/>
        </w:rPr>
        <w:t xml:space="preserve">:  </w:t>
      </w:r>
      <w:r w:rsidR="008B4E9A">
        <w:rPr>
          <w:rFonts w:ascii="Times New Roman" w:hAnsi="Times New Roman" w:cs="Times New Roman"/>
          <w:sz w:val="24"/>
          <w:szCs w:val="24"/>
        </w:rPr>
        <w:t>95</w:t>
      </w:r>
      <w:proofErr w:type="gramEnd"/>
      <w:r w:rsidR="008B4E9A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885FDB" w:rsidRPr="008B4E9A" w:rsidRDefault="00885FDB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9A">
        <w:rPr>
          <w:rFonts w:ascii="Times New Roman" w:hAnsi="Times New Roman" w:cs="Times New Roman"/>
          <w:sz w:val="24"/>
          <w:szCs w:val="24"/>
        </w:rPr>
        <w:t xml:space="preserve">Jelenlegi pedagóguslétszám: </w:t>
      </w:r>
      <w:r w:rsidR="008B4E9A">
        <w:rPr>
          <w:rFonts w:ascii="Times New Roman" w:hAnsi="Times New Roman" w:cs="Times New Roman"/>
          <w:sz w:val="24"/>
          <w:szCs w:val="24"/>
        </w:rPr>
        <w:t>72 fő</w:t>
      </w:r>
    </w:p>
    <w:p w:rsidR="00885FDB" w:rsidRPr="008B4E9A" w:rsidRDefault="00885FDB" w:rsidP="00885FDB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E9A">
        <w:rPr>
          <w:rFonts w:ascii="Times New Roman" w:hAnsi="Times New Roman" w:cs="Times New Roman"/>
          <w:sz w:val="24"/>
          <w:szCs w:val="24"/>
        </w:rPr>
        <w:t>Tanár</w:t>
      </w:r>
      <w:r w:rsidR="009427D7" w:rsidRPr="008B4E9A">
        <w:rPr>
          <w:rFonts w:ascii="Times New Roman" w:hAnsi="Times New Roman" w:cs="Times New Roman"/>
          <w:sz w:val="24"/>
          <w:szCs w:val="24"/>
        </w:rPr>
        <w:t xml:space="preserve">   </w:t>
      </w:r>
      <w:r w:rsidR="001E618E">
        <w:rPr>
          <w:rFonts w:ascii="Times New Roman" w:hAnsi="Times New Roman" w:cs="Times New Roman"/>
          <w:sz w:val="24"/>
          <w:szCs w:val="24"/>
        </w:rPr>
        <w:t>60fő</w:t>
      </w:r>
      <w:proofErr w:type="gramEnd"/>
    </w:p>
    <w:p w:rsidR="00885FDB" w:rsidRPr="008B4E9A" w:rsidRDefault="00885FDB" w:rsidP="00885FDB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9A">
        <w:rPr>
          <w:rFonts w:ascii="Times New Roman" w:hAnsi="Times New Roman" w:cs="Times New Roman"/>
          <w:sz w:val="24"/>
          <w:szCs w:val="24"/>
        </w:rPr>
        <w:t>Szakoktató</w:t>
      </w:r>
      <w:r w:rsidR="001E618E">
        <w:rPr>
          <w:rFonts w:ascii="Times New Roman" w:hAnsi="Times New Roman" w:cs="Times New Roman"/>
          <w:sz w:val="24"/>
          <w:szCs w:val="24"/>
        </w:rPr>
        <w:t xml:space="preserve"> 12 fő</w:t>
      </w:r>
    </w:p>
    <w:p w:rsidR="00E85D31" w:rsidRPr="008B4E9A" w:rsidRDefault="00E85D31" w:rsidP="00885FDB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9A">
        <w:rPr>
          <w:rFonts w:ascii="Times New Roman" w:hAnsi="Times New Roman" w:cs="Times New Roman"/>
          <w:sz w:val="24"/>
          <w:szCs w:val="24"/>
        </w:rPr>
        <w:t>Óraadó</w:t>
      </w:r>
      <w:r w:rsidR="001E618E">
        <w:rPr>
          <w:rFonts w:ascii="Times New Roman" w:hAnsi="Times New Roman" w:cs="Times New Roman"/>
          <w:sz w:val="24"/>
          <w:szCs w:val="24"/>
        </w:rPr>
        <w:t xml:space="preserve"> 17 fő</w:t>
      </w:r>
    </w:p>
    <w:p w:rsidR="009427D7" w:rsidRPr="008B4E9A" w:rsidRDefault="00885FDB" w:rsidP="009427D7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9A">
        <w:rPr>
          <w:rFonts w:ascii="Times New Roman" w:hAnsi="Times New Roman" w:cs="Times New Roman"/>
          <w:sz w:val="24"/>
          <w:szCs w:val="24"/>
        </w:rPr>
        <w:t>Nem pedagógus</w:t>
      </w:r>
      <w:r w:rsidR="009427D7" w:rsidRPr="008B4E9A">
        <w:rPr>
          <w:rFonts w:ascii="Times New Roman" w:hAnsi="Times New Roman" w:cs="Times New Roman"/>
          <w:sz w:val="24"/>
          <w:szCs w:val="24"/>
        </w:rPr>
        <w:t xml:space="preserve"> </w:t>
      </w:r>
      <w:r w:rsidR="001E618E">
        <w:rPr>
          <w:rFonts w:ascii="Times New Roman" w:hAnsi="Times New Roman" w:cs="Times New Roman"/>
          <w:sz w:val="24"/>
          <w:szCs w:val="24"/>
        </w:rPr>
        <w:t>29, 5 fő</w:t>
      </w:r>
    </w:p>
    <w:p w:rsidR="009427D7" w:rsidRDefault="009427D7" w:rsidP="009427D7">
      <w:pPr>
        <w:spacing w:line="36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27D7">
        <w:rPr>
          <w:rFonts w:ascii="Times New Roman" w:hAnsi="Times New Roman" w:cs="Times New Roman"/>
          <w:b/>
          <w:i/>
          <w:sz w:val="24"/>
          <w:szCs w:val="24"/>
        </w:rPr>
        <w:t>A tanulók</w:t>
      </w:r>
    </w:p>
    <w:p w:rsidR="009427D7" w:rsidRDefault="009427D7" w:rsidP="009427D7">
      <w:pPr>
        <w:spacing w:line="36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27D7" w:rsidRDefault="009427D7" w:rsidP="009427D7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 nappali tagozatán tanulók létszámának alakulása</w:t>
      </w:r>
    </w:p>
    <w:p w:rsidR="003951CE" w:rsidRDefault="003951CE" w:rsidP="009427D7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708" w:type="dxa"/>
        <w:tblLook w:val="04A0" w:firstRow="1" w:lastRow="0" w:firstColumn="1" w:lastColumn="0" w:noHBand="0" w:noVBand="1"/>
      </w:tblPr>
      <w:tblGrid>
        <w:gridCol w:w="1671"/>
        <w:gridCol w:w="1671"/>
        <w:gridCol w:w="1670"/>
        <w:gridCol w:w="1671"/>
        <w:gridCol w:w="1671"/>
      </w:tblGrid>
      <w:tr w:rsidR="003951CE" w:rsidTr="003951CE">
        <w:trPr>
          <w:trHeight w:val="914"/>
        </w:trPr>
        <w:tc>
          <w:tcPr>
            <w:tcW w:w="1671" w:type="dxa"/>
          </w:tcPr>
          <w:p w:rsidR="003951CE" w:rsidRPr="00BA617D" w:rsidRDefault="003951CE" w:rsidP="00BA61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7D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671" w:type="dxa"/>
          </w:tcPr>
          <w:p w:rsidR="003951CE" w:rsidRPr="00BA617D" w:rsidRDefault="003951CE" w:rsidP="00BA61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7D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670" w:type="dxa"/>
          </w:tcPr>
          <w:p w:rsidR="003951CE" w:rsidRPr="00BA617D" w:rsidRDefault="003951CE" w:rsidP="00BA61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7D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671" w:type="dxa"/>
          </w:tcPr>
          <w:p w:rsidR="003951CE" w:rsidRPr="00BA617D" w:rsidRDefault="003951CE" w:rsidP="00BA61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7D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671" w:type="dxa"/>
          </w:tcPr>
          <w:p w:rsidR="003951CE" w:rsidRPr="00BA617D" w:rsidRDefault="003951CE" w:rsidP="00BA61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7D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951CE" w:rsidTr="003951CE">
        <w:trPr>
          <w:trHeight w:val="914"/>
        </w:trPr>
        <w:tc>
          <w:tcPr>
            <w:tcW w:w="1671" w:type="dxa"/>
          </w:tcPr>
          <w:p w:rsidR="003951CE" w:rsidRDefault="00BA617D" w:rsidP="00BA61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1671" w:type="dxa"/>
          </w:tcPr>
          <w:p w:rsidR="003951CE" w:rsidRDefault="00BA617D" w:rsidP="00BA61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1670" w:type="dxa"/>
          </w:tcPr>
          <w:p w:rsidR="003951CE" w:rsidRDefault="00BA617D" w:rsidP="00BA61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1671" w:type="dxa"/>
          </w:tcPr>
          <w:p w:rsidR="003951CE" w:rsidRDefault="00BA617D" w:rsidP="00BA61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671" w:type="dxa"/>
          </w:tcPr>
          <w:p w:rsidR="003951CE" w:rsidRDefault="00BA617D" w:rsidP="00BA61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</w:tr>
    </w:tbl>
    <w:p w:rsidR="00730E82" w:rsidRPr="00E85D31" w:rsidRDefault="00730E82" w:rsidP="00E85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1CE" w:rsidRDefault="003951CE" w:rsidP="003951CE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Kollégium létszám alakulása</w:t>
      </w:r>
    </w:p>
    <w:p w:rsidR="003951CE" w:rsidRDefault="003951CE" w:rsidP="003951CE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708" w:type="dxa"/>
        <w:tblLook w:val="04A0" w:firstRow="1" w:lastRow="0" w:firstColumn="1" w:lastColumn="0" w:noHBand="0" w:noVBand="1"/>
      </w:tblPr>
      <w:tblGrid>
        <w:gridCol w:w="1671"/>
        <w:gridCol w:w="1671"/>
        <w:gridCol w:w="1670"/>
        <w:gridCol w:w="1671"/>
        <w:gridCol w:w="1671"/>
      </w:tblGrid>
      <w:tr w:rsidR="003951CE" w:rsidTr="000A3BB6">
        <w:trPr>
          <w:trHeight w:val="914"/>
        </w:trPr>
        <w:tc>
          <w:tcPr>
            <w:tcW w:w="1671" w:type="dxa"/>
          </w:tcPr>
          <w:p w:rsidR="003951CE" w:rsidRPr="0051637E" w:rsidRDefault="003951CE" w:rsidP="00516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2015-2016</w:t>
            </w:r>
          </w:p>
        </w:tc>
        <w:tc>
          <w:tcPr>
            <w:tcW w:w="1671" w:type="dxa"/>
          </w:tcPr>
          <w:p w:rsidR="003951CE" w:rsidRPr="0051637E" w:rsidRDefault="003951CE" w:rsidP="00516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7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670" w:type="dxa"/>
          </w:tcPr>
          <w:p w:rsidR="003951CE" w:rsidRPr="0051637E" w:rsidRDefault="003951CE" w:rsidP="00516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7E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671" w:type="dxa"/>
          </w:tcPr>
          <w:p w:rsidR="003951CE" w:rsidRPr="0051637E" w:rsidRDefault="003951CE" w:rsidP="00516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7E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671" w:type="dxa"/>
          </w:tcPr>
          <w:p w:rsidR="003951CE" w:rsidRPr="0051637E" w:rsidRDefault="003951CE" w:rsidP="00516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7E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951CE" w:rsidTr="000A3BB6">
        <w:trPr>
          <w:trHeight w:val="914"/>
        </w:trPr>
        <w:tc>
          <w:tcPr>
            <w:tcW w:w="1671" w:type="dxa"/>
          </w:tcPr>
          <w:p w:rsidR="003951CE" w:rsidRDefault="0051637E" w:rsidP="00516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71" w:type="dxa"/>
          </w:tcPr>
          <w:p w:rsidR="003951CE" w:rsidRDefault="0051637E" w:rsidP="00516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70" w:type="dxa"/>
          </w:tcPr>
          <w:p w:rsidR="003951CE" w:rsidRDefault="0051637E" w:rsidP="00516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71" w:type="dxa"/>
          </w:tcPr>
          <w:p w:rsidR="003951CE" w:rsidRDefault="0051637E" w:rsidP="00516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71" w:type="dxa"/>
          </w:tcPr>
          <w:p w:rsidR="003951CE" w:rsidRDefault="0051637E" w:rsidP="00516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3951CE" w:rsidRDefault="003951CE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1CE" w:rsidRDefault="003951CE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1CE" w:rsidRDefault="003951CE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tanulók képzési szerkezet szerinti megoszlása</w:t>
      </w:r>
    </w:p>
    <w:p w:rsidR="003951CE" w:rsidRDefault="003951CE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1CE" w:rsidRPr="00F475B1" w:rsidRDefault="003951CE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5B1">
        <w:rPr>
          <w:rFonts w:ascii="Times New Roman" w:hAnsi="Times New Roman" w:cs="Times New Roman"/>
          <w:sz w:val="24"/>
          <w:szCs w:val="24"/>
        </w:rPr>
        <w:t>Szakgimnázium</w:t>
      </w:r>
      <w:r w:rsidR="00F475B1" w:rsidRPr="00F475B1">
        <w:rPr>
          <w:rFonts w:ascii="Times New Roman" w:hAnsi="Times New Roman" w:cs="Times New Roman"/>
          <w:sz w:val="24"/>
          <w:szCs w:val="24"/>
        </w:rPr>
        <w:t xml:space="preserve"> 369 fő</w:t>
      </w:r>
    </w:p>
    <w:p w:rsidR="007C0755" w:rsidRPr="00F475B1" w:rsidRDefault="007C0755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1CE" w:rsidRPr="00F475B1" w:rsidRDefault="003951CE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5B1">
        <w:rPr>
          <w:rFonts w:ascii="Times New Roman" w:hAnsi="Times New Roman" w:cs="Times New Roman"/>
          <w:sz w:val="24"/>
          <w:szCs w:val="24"/>
        </w:rPr>
        <w:t>Szakközépiskola</w:t>
      </w:r>
      <w:r w:rsidR="00F475B1" w:rsidRPr="00F475B1">
        <w:rPr>
          <w:rFonts w:ascii="Times New Roman" w:hAnsi="Times New Roman" w:cs="Times New Roman"/>
          <w:sz w:val="24"/>
          <w:szCs w:val="24"/>
        </w:rPr>
        <w:t xml:space="preserve"> 418fő</w:t>
      </w:r>
    </w:p>
    <w:p w:rsidR="007C0755" w:rsidRPr="00F475B1" w:rsidRDefault="007C0755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755" w:rsidRPr="00F475B1" w:rsidRDefault="007C0755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5B1">
        <w:rPr>
          <w:rFonts w:ascii="Times New Roman" w:hAnsi="Times New Roman" w:cs="Times New Roman"/>
          <w:sz w:val="24"/>
          <w:szCs w:val="24"/>
        </w:rPr>
        <w:t>Szakmával rendelkezők két éves szakközépiskolája</w:t>
      </w:r>
      <w:r w:rsidR="00F475B1" w:rsidRPr="00F475B1">
        <w:rPr>
          <w:rFonts w:ascii="Times New Roman" w:hAnsi="Times New Roman" w:cs="Times New Roman"/>
          <w:sz w:val="24"/>
          <w:szCs w:val="24"/>
        </w:rPr>
        <w:t xml:space="preserve"> 72 fő</w:t>
      </w:r>
    </w:p>
    <w:p w:rsidR="007C0755" w:rsidRPr="00F475B1" w:rsidRDefault="007C0755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755" w:rsidRPr="00F475B1" w:rsidRDefault="007C0755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5B1">
        <w:rPr>
          <w:rFonts w:ascii="Times New Roman" w:hAnsi="Times New Roman" w:cs="Times New Roman"/>
          <w:sz w:val="24"/>
          <w:szCs w:val="24"/>
        </w:rPr>
        <w:t>Felnőttoktatás</w:t>
      </w:r>
      <w:r w:rsidR="00F475B1" w:rsidRPr="00F475B1">
        <w:rPr>
          <w:rFonts w:ascii="Times New Roman" w:hAnsi="Times New Roman" w:cs="Times New Roman"/>
          <w:sz w:val="24"/>
          <w:szCs w:val="24"/>
        </w:rPr>
        <w:t xml:space="preserve"> 54 fő</w:t>
      </w:r>
    </w:p>
    <w:p w:rsidR="007C0755" w:rsidRPr="00F475B1" w:rsidRDefault="007C0755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755" w:rsidRPr="00F475B1" w:rsidRDefault="007C0755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5B1">
        <w:rPr>
          <w:rFonts w:ascii="Times New Roman" w:hAnsi="Times New Roman" w:cs="Times New Roman"/>
          <w:sz w:val="24"/>
          <w:szCs w:val="24"/>
        </w:rPr>
        <w:t xml:space="preserve">Duális </w:t>
      </w:r>
      <w:proofErr w:type="gramStart"/>
      <w:r w:rsidRPr="00F475B1">
        <w:rPr>
          <w:rFonts w:ascii="Times New Roman" w:hAnsi="Times New Roman" w:cs="Times New Roman"/>
          <w:sz w:val="24"/>
          <w:szCs w:val="24"/>
        </w:rPr>
        <w:t>képzőhelyen</w:t>
      </w:r>
      <w:proofErr w:type="gramEnd"/>
      <w:r w:rsidRPr="00F475B1">
        <w:rPr>
          <w:rFonts w:ascii="Times New Roman" w:hAnsi="Times New Roman" w:cs="Times New Roman"/>
          <w:sz w:val="24"/>
          <w:szCs w:val="24"/>
        </w:rPr>
        <w:t xml:space="preserve"> </w:t>
      </w:r>
      <w:r w:rsidR="00F475B1" w:rsidRPr="00F475B1">
        <w:rPr>
          <w:rFonts w:ascii="Times New Roman" w:hAnsi="Times New Roman" w:cs="Times New Roman"/>
          <w:sz w:val="24"/>
          <w:szCs w:val="24"/>
        </w:rPr>
        <w:t xml:space="preserve"> </w:t>
      </w:r>
      <w:r w:rsidR="0073088C">
        <w:rPr>
          <w:rFonts w:ascii="Times New Roman" w:hAnsi="Times New Roman" w:cs="Times New Roman"/>
          <w:sz w:val="24"/>
          <w:szCs w:val="24"/>
        </w:rPr>
        <w:t xml:space="preserve">gyakorlaton lévők </w:t>
      </w:r>
      <w:r w:rsidR="00F475B1" w:rsidRPr="00F475B1">
        <w:rPr>
          <w:rFonts w:ascii="Times New Roman" w:hAnsi="Times New Roman" w:cs="Times New Roman"/>
          <w:sz w:val="24"/>
          <w:szCs w:val="24"/>
        </w:rPr>
        <w:t>306 fő</w:t>
      </w:r>
    </w:p>
    <w:p w:rsidR="00E85D31" w:rsidRPr="00F475B1" w:rsidRDefault="00E85D31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D31" w:rsidRPr="00F475B1" w:rsidRDefault="00E85D31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5B1">
        <w:rPr>
          <w:rFonts w:ascii="Times New Roman" w:hAnsi="Times New Roman" w:cs="Times New Roman"/>
          <w:sz w:val="24"/>
          <w:szCs w:val="24"/>
        </w:rPr>
        <w:t xml:space="preserve">Tanműhelyben </w:t>
      </w:r>
      <w:r w:rsidR="0073088C">
        <w:rPr>
          <w:rFonts w:ascii="Times New Roman" w:hAnsi="Times New Roman" w:cs="Times New Roman"/>
          <w:sz w:val="24"/>
          <w:szCs w:val="24"/>
        </w:rPr>
        <w:t xml:space="preserve">gyakorlaton lévők </w:t>
      </w:r>
      <w:r w:rsidR="00F475B1" w:rsidRPr="00F475B1">
        <w:rPr>
          <w:rFonts w:ascii="Times New Roman" w:hAnsi="Times New Roman" w:cs="Times New Roman"/>
          <w:sz w:val="24"/>
          <w:szCs w:val="24"/>
        </w:rPr>
        <w:t>535 fő</w:t>
      </w:r>
    </w:p>
    <w:p w:rsidR="00BF4B8B" w:rsidRDefault="00BF4B8B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4B8B" w:rsidRDefault="00BF4B8B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F4B8B">
        <w:rPr>
          <w:rFonts w:ascii="Times New Roman" w:hAnsi="Times New Roman" w:cs="Times New Roman"/>
          <w:b/>
          <w:sz w:val="32"/>
          <w:szCs w:val="32"/>
        </w:rPr>
        <w:t>Felszereltség, tárgyi környezet</w:t>
      </w:r>
    </w:p>
    <w:p w:rsidR="00936C9E" w:rsidRDefault="00936C9E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36C9E" w:rsidRDefault="00936C9E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iskola épületét egy 2016-os KEHOP pályázat keretein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belül </w:t>
      </w:r>
      <w:r w:rsidRPr="00936C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felújították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kicserélték a </w:t>
      </w:r>
      <w:r w:rsidR="001E19DF">
        <w:rPr>
          <w:rFonts w:ascii="Times New Roman" w:hAnsi="Times New Roman" w:cs="Times New Roman"/>
          <w:sz w:val="24"/>
          <w:szCs w:val="24"/>
        </w:rPr>
        <w:t>nyílászárókat, megtörtént a kollégium tetőszigetelése továbbá m</w:t>
      </w:r>
      <w:r w:rsidR="001E19DF" w:rsidRPr="001E19DF">
        <w:rPr>
          <w:rFonts w:ascii="Times New Roman" w:hAnsi="Times New Roman" w:cs="Times New Roman"/>
          <w:sz w:val="24"/>
          <w:szCs w:val="24"/>
        </w:rPr>
        <w:t>egújult külsőt, korszerű energetikai berendezéseket, új fűtési rendszert kapott az intézmény</w:t>
      </w:r>
      <w:r w:rsidR="001E19DF">
        <w:rPr>
          <w:rFonts w:ascii="Times New Roman" w:hAnsi="Times New Roman" w:cs="Times New Roman"/>
          <w:sz w:val="24"/>
          <w:szCs w:val="24"/>
        </w:rPr>
        <w:t>.</w:t>
      </w:r>
      <w:r w:rsidR="00231B61">
        <w:rPr>
          <w:rFonts w:ascii="Times New Roman" w:hAnsi="Times New Roman" w:cs="Times New Roman"/>
          <w:sz w:val="24"/>
          <w:szCs w:val="24"/>
        </w:rPr>
        <w:t xml:space="preserve"> </w:t>
      </w:r>
      <w:r w:rsidR="00DF0D0B">
        <w:rPr>
          <w:rFonts w:ascii="Times New Roman" w:hAnsi="Times New Roman" w:cs="Times New Roman"/>
          <w:sz w:val="24"/>
          <w:szCs w:val="24"/>
        </w:rPr>
        <w:t>Az iskolai tornateremben a</w:t>
      </w:r>
      <w:r w:rsidR="00E466CB">
        <w:rPr>
          <w:rFonts w:ascii="Times New Roman" w:hAnsi="Times New Roman" w:cs="Times New Roman"/>
          <w:sz w:val="24"/>
          <w:szCs w:val="24"/>
        </w:rPr>
        <w:t xml:space="preserve"> burkolat</w:t>
      </w:r>
      <w:r w:rsidR="00DF0D0B">
        <w:rPr>
          <w:rFonts w:ascii="Times New Roman" w:hAnsi="Times New Roman" w:cs="Times New Roman"/>
          <w:sz w:val="24"/>
          <w:szCs w:val="24"/>
        </w:rPr>
        <w:t xml:space="preserve"> felújítása mellett tisztasági festésre is sor került. </w:t>
      </w:r>
      <w:r w:rsidR="00231B61">
        <w:rPr>
          <w:rFonts w:ascii="Times New Roman" w:hAnsi="Times New Roman" w:cs="Times New Roman"/>
          <w:sz w:val="24"/>
          <w:szCs w:val="24"/>
        </w:rPr>
        <w:t xml:space="preserve">Az épület megfelelően karbantartott 22 tanteremmel, </w:t>
      </w:r>
      <w:r w:rsidR="00DF0D0B">
        <w:rPr>
          <w:rFonts w:ascii="Times New Roman" w:hAnsi="Times New Roman" w:cs="Times New Roman"/>
          <w:sz w:val="24"/>
          <w:szCs w:val="24"/>
        </w:rPr>
        <w:t>22 kisteremmel, számítástechnikai termekkel, mechatronikai, villamos, eladói</w:t>
      </w:r>
      <w:r w:rsidR="00C251E5">
        <w:rPr>
          <w:rFonts w:ascii="Times New Roman" w:hAnsi="Times New Roman" w:cs="Times New Roman"/>
          <w:sz w:val="24"/>
          <w:szCs w:val="24"/>
        </w:rPr>
        <w:t>, pék, egészségügyi</w:t>
      </w:r>
      <w:r w:rsidR="00DF0D0B">
        <w:rPr>
          <w:rFonts w:ascii="Times New Roman" w:hAnsi="Times New Roman" w:cs="Times New Roman"/>
          <w:sz w:val="24"/>
          <w:szCs w:val="24"/>
        </w:rPr>
        <w:t xml:space="preserve"> és számítógépszerelő-karbantartói szaktantermekkel, </w:t>
      </w:r>
      <w:r w:rsidR="00C251E5">
        <w:rPr>
          <w:rFonts w:ascii="Times New Roman" w:hAnsi="Times New Roman" w:cs="Times New Roman"/>
          <w:sz w:val="24"/>
          <w:szCs w:val="24"/>
        </w:rPr>
        <w:t>nyelvi laborral, tornateremmel és szertárakkal rendelkezik.</w:t>
      </w:r>
      <w:r w:rsidR="00E466CB">
        <w:rPr>
          <w:rFonts w:ascii="Times New Roman" w:hAnsi="Times New Roman" w:cs="Times New Roman"/>
          <w:sz w:val="24"/>
          <w:szCs w:val="24"/>
        </w:rPr>
        <w:t xml:space="preserve"> </w:t>
      </w:r>
      <w:r w:rsidR="00EF4F93">
        <w:rPr>
          <w:rFonts w:ascii="Times New Roman" w:hAnsi="Times New Roman" w:cs="Times New Roman"/>
          <w:sz w:val="24"/>
          <w:szCs w:val="24"/>
        </w:rPr>
        <w:t>2016-tól az iskola részére 21db Word Wall tábla, 292 db informatikai eszköz, 27 db projektor és 4 db oktatórobot került beszerzésre.</w:t>
      </w:r>
    </w:p>
    <w:p w:rsidR="00E466CB" w:rsidRDefault="00E466CB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pedagógus rendelkezik az iskola által biztosított informatikai eszközzel.</w:t>
      </w:r>
    </w:p>
    <w:p w:rsidR="00C251E5" w:rsidRDefault="00C251E5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100 férőhelyes kollégium felszereltsége jónak mondható, új bútorzat beszerzése folyamatos.</w:t>
      </w:r>
    </w:p>
    <w:p w:rsidR="00C251E5" w:rsidRDefault="00C251E5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gyakorlati oktatás tárgyi feltételei az oktatott szakmák tekintetében megfelelőek. A színvonalas oktatáshoz szükséges eszközök, gépek és berendezések beszerzése a lehetőségekhez mérten folyamatos.</w:t>
      </w:r>
    </w:p>
    <w:p w:rsidR="00C251E5" w:rsidRDefault="00C251E5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 informatikai hálózata minden szertárat és tantermet magában foglal, a kerekharaszti tanműhely is hálózatra kötött.</w:t>
      </w:r>
    </w:p>
    <w:p w:rsidR="00C251E5" w:rsidRDefault="00C251E5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1E5" w:rsidRDefault="00C251E5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51E5">
        <w:rPr>
          <w:rFonts w:ascii="Times New Roman" w:hAnsi="Times New Roman" w:cs="Times New Roman"/>
          <w:b/>
          <w:i/>
          <w:sz w:val="24"/>
          <w:szCs w:val="24"/>
        </w:rPr>
        <w:t xml:space="preserve">Az iskolai épületének állagából adódó </w:t>
      </w:r>
      <w:r w:rsidR="005D00E2">
        <w:rPr>
          <w:rFonts w:ascii="Times New Roman" w:hAnsi="Times New Roman" w:cs="Times New Roman"/>
          <w:b/>
          <w:i/>
          <w:sz w:val="24"/>
          <w:szCs w:val="24"/>
        </w:rPr>
        <w:t xml:space="preserve">fejlesztési, </w:t>
      </w:r>
      <w:r w:rsidRPr="00C251E5">
        <w:rPr>
          <w:rFonts w:ascii="Times New Roman" w:hAnsi="Times New Roman" w:cs="Times New Roman"/>
          <w:b/>
          <w:i/>
          <w:sz w:val="24"/>
          <w:szCs w:val="24"/>
        </w:rPr>
        <w:t>felújítási igények</w:t>
      </w:r>
    </w:p>
    <w:p w:rsidR="00C251E5" w:rsidRDefault="00C251E5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51E5" w:rsidRDefault="00C251E5" w:rsidP="00C251E5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elöregedett radiátorok cseréje</w:t>
      </w:r>
    </w:p>
    <w:p w:rsidR="00C251E5" w:rsidRDefault="00151786" w:rsidP="00C251E5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tornaterem</w:t>
      </w:r>
      <w:r w:rsidR="005D00E2">
        <w:rPr>
          <w:rFonts w:ascii="Times New Roman" w:hAnsi="Times New Roman" w:cs="Times New Roman"/>
          <w:b/>
          <w:i/>
          <w:sz w:val="24"/>
          <w:szCs w:val="24"/>
        </w:rPr>
        <w:t xml:space="preserve"> bővítése,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szellőzőrendszerének kiépítése</w:t>
      </w:r>
    </w:p>
    <w:p w:rsidR="00C251E5" w:rsidRDefault="005D00E2" w:rsidP="00C251E5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="00151786">
        <w:rPr>
          <w:rFonts w:ascii="Times New Roman" w:hAnsi="Times New Roman" w:cs="Times New Roman"/>
          <w:b/>
          <w:i/>
          <w:sz w:val="24"/>
          <w:szCs w:val="24"/>
        </w:rPr>
        <w:t>kollégium vízvezetékrendszerének cseréje</w:t>
      </w:r>
    </w:p>
    <w:p w:rsidR="005D00E2" w:rsidRDefault="005D00E2" w:rsidP="00C251E5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korszerű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hálózat kiépítése</w:t>
      </w:r>
    </w:p>
    <w:p w:rsidR="00151786" w:rsidRDefault="00151786" w:rsidP="00C251E5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az épület világításának és elektromos hálózatának teljes felújítása</w:t>
      </w:r>
    </w:p>
    <w:p w:rsidR="00151786" w:rsidRPr="00C251E5" w:rsidRDefault="00151786" w:rsidP="00151786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kerekharaszti tanműhely világításának és elektromos hálózatának teljes felújítása</w:t>
      </w:r>
    </w:p>
    <w:p w:rsidR="00151786" w:rsidRDefault="00151786" w:rsidP="00151786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újhatvani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tanműhely nyílászáróinak cseréje</w:t>
      </w:r>
    </w:p>
    <w:p w:rsidR="00E43A85" w:rsidRPr="00BE79B3" w:rsidRDefault="00E43A85" w:rsidP="00BE79B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66CC" w:rsidRDefault="000F66CC" w:rsidP="000F66C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Sikeres pályázatok révén továbbra is folyamatosan fejleszteni kell a gyakorlati oktatá</w:t>
      </w:r>
      <w:r w:rsidR="00E43A85">
        <w:rPr>
          <w:rFonts w:ascii="Times New Roman" w:hAnsi="Times New Roman" w:cs="Times New Roman"/>
          <w:sz w:val="24"/>
          <w:szCs w:val="24"/>
        </w:rPr>
        <w:t>s tárgyi eszközeit és az iskola informatikai rendszerét, hiszen ezek egyszerre szolgálják ki a szakképzés és a közismereti tárgyak által felmerülő igényeket.</w:t>
      </w:r>
    </w:p>
    <w:p w:rsidR="00E43A85" w:rsidRPr="000F66CC" w:rsidRDefault="00E43A85" w:rsidP="000F66C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C0755" w:rsidRDefault="007C0755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40" w:rsidRDefault="007E2F40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40" w:rsidRDefault="007E2F40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40" w:rsidRDefault="007E2F40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40" w:rsidRDefault="007E2F40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40" w:rsidRDefault="007E2F40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40" w:rsidRDefault="007E2F40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40" w:rsidRDefault="007E2F40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40" w:rsidRDefault="007E2F40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40" w:rsidRDefault="007E2F40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40" w:rsidRDefault="007E2F40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40" w:rsidRDefault="007E2F40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40" w:rsidRDefault="007E2F40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40" w:rsidRDefault="007E2F40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40" w:rsidRDefault="007E2F40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40" w:rsidRDefault="007E2F40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40" w:rsidRDefault="007E2F40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40" w:rsidRDefault="007E2F40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40" w:rsidRDefault="007E2F40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40" w:rsidRDefault="007E2F40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40" w:rsidRDefault="007E2F40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40" w:rsidRDefault="007E2F40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40" w:rsidRDefault="007E2F40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40" w:rsidRDefault="007E2F40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40" w:rsidRDefault="007E2F40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40" w:rsidRDefault="007E2F40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40" w:rsidRDefault="007E2F40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40" w:rsidRDefault="007E2F40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40" w:rsidRDefault="007E2F40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40" w:rsidRPr="001C0317" w:rsidRDefault="001C0317" w:rsidP="001C0317">
      <w:pPr>
        <w:pStyle w:val="Listaszerbekezds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0317">
        <w:rPr>
          <w:rFonts w:ascii="Times New Roman" w:hAnsi="Times New Roman" w:cs="Times New Roman"/>
          <w:b/>
          <w:sz w:val="32"/>
          <w:szCs w:val="32"/>
        </w:rPr>
        <w:t>Vezetői program</w:t>
      </w:r>
    </w:p>
    <w:p w:rsidR="007E2F40" w:rsidRDefault="007E2F40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755" w:rsidRDefault="007C0755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1CE" w:rsidRDefault="00915BFE" w:rsidP="0040010D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Vezetői programom arra az elgondolásra épül, hogy a kormányzat </w:t>
      </w:r>
      <w:r w:rsidR="005A637A">
        <w:rPr>
          <w:rFonts w:ascii="Times New Roman" w:hAnsi="Times New Roman" w:cs="Times New Roman"/>
          <w:sz w:val="24"/>
          <w:szCs w:val="24"/>
        </w:rPr>
        <w:t xml:space="preserve">a változó környezet kihívásaira </w:t>
      </w:r>
      <w:r>
        <w:rPr>
          <w:rFonts w:ascii="Times New Roman" w:hAnsi="Times New Roman" w:cs="Times New Roman"/>
          <w:sz w:val="24"/>
          <w:szCs w:val="24"/>
        </w:rPr>
        <w:t>meghirdetett</w:t>
      </w:r>
      <w:r w:rsidR="0073088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37A">
        <w:rPr>
          <w:rFonts w:ascii="Times New Roman" w:hAnsi="Times New Roman" w:cs="Times New Roman"/>
          <w:sz w:val="24"/>
          <w:szCs w:val="24"/>
        </w:rPr>
        <w:t xml:space="preserve">az ipar 4.0-t, amely a szakképzésben is változást generált és </w:t>
      </w:r>
      <w:r w:rsidR="00F475B1">
        <w:rPr>
          <w:rFonts w:ascii="Times New Roman" w:hAnsi="Times New Roman" w:cs="Times New Roman"/>
          <w:sz w:val="24"/>
          <w:szCs w:val="24"/>
        </w:rPr>
        <w:t xml:space="preserve">elfogadásra került a szakképzés 4.0 stratégia. </w:t>
      </w:r>
      <w:r w:rsidR="00AA5617">
        <w:rPr>
          <w:rFonts w:ascii="Times New Roman" w:hAnsi="Times New Roman" w:cs="Times New Roman"/>
          <w:sz w:val="24"/>
          <w:szCs w:val="24"/>
        </w:rPr>
        <w:t xml:space="preserve"> A</w:t>
      </w:r>
      <w:r w:rsidR="00375ACA">
        <w:rPr>
          <w:rFonts w:ascii="Times New Roman" w:hAnsi="Times New Roman" w:cs="Times New Roman"/>
          <w:sz w:val="24"/>
          <w:szCs w:val="24"/>
        </w:rPr>
        <w:t xml:space="preserve"> korábbi Országos Képzési Jegyzéket felváltotta a Szakmajegyzék 174 alapszakma került meghatározásra, melyből 98 technikumi szintű, 76 szakiskolai szintű. </w:t>
      </w:r>
      <w:r w:rsidR="00F475B1">
        <w:rPr>
          <w:rFonts w:ascii="Times New Roman" w:hAnsi="Times New Roman" w:cs="Times New Roman"/>
          <w:sz w:val="24"/>
          <w:szCs w:val="24"/>
        </w:rPr>
        <w:t xml:space="preserve">Az új stratégia alapja három pilléren nyugszik: karrierlehetőség, vonzó környezet és naprakész </w:t>
      </w:r>
      <w:r w:rsidR="00506EA8">
        <w:rPr>
          <w:rFonts w:ascii="Times New Roman" w:hAnsi="Times New Roman" w:cs="Times New Roman"/>
          <w:sz w:val="24"/>
          <w:szCs w:val="24"/>
        </w:rPr>
        <w:t xml:space="preserve">oktatói </w:t>
      </w:r>
      <w:r w:rsidR="00F475B1">
        <w:rPr>
          <w:rFonts w:ascii="Times New Roman" w:hAnsi="Times New Roman" w:cs="Times New Roman"/>
          <w:sz w:val="24"/>
          <w:szCs w:val="24"/>
        </w:rPr>
        <w:t>tudás.</w:t>
      </w:r>
      <w:r w:rsidR="00506EA8">
        <w:rPr>
          <w:rFonts w:ascii="Times New Roman" w:hAnsi="Times New Roman" w:cs="Times New Roman"/>
          <w:sz w:val="24"/>
          <w:szCs w:val="24"/>
        </w:rPr>
        <w:t xml:space="preserve"> Egyszerű átlátható és átjárható rendszer valósuljon meg. A technikumi képzés a felsőoktatás előszobája legyen, valamilyen formában elfogadva a megszerzett ismereteket, mindezt megfelelő ösztöndíj programmal elősegítve.</w:t>
      </w:r>
      <w:r w:rsidR="00F475B1">
        <w:rPr>
          <w:rFonts w:ascii="Times New Roman" w:hAnsi="Times New Roman" w:cs="Times New Roman"/>
          <w:sz w:val="24"/>
          <w:szCs w:val="24"/>
        </w:rPr>
        <w:t xml:space="preserve"> </w:t>
      </w:r>
      <w:r w:rsidR="00506EA8">
        <w:rPr>
          <w:rFonts w:ascii="Times New Roman" w:hAnsi="Times New Roman" w:cs="Times New Roman"/>
          <w:sz w:val="24"/>
          <w:szCs w:val="24"/>
        </w:rPr>
        <w:t xml:space="preserve">Jó minőségű, korszerűen felszerelt ágazati alapozó tanműhelyek kialakítása és a digitális tartalmak folyamatos korszerűsítése. </w:t>
      </w:r>
      <w:r w:rsidR="0040010D">
        <w:rPr>
          <w:rFonts w:ascii="Times New Roman" w:hAnsi="Times New Roman" w:cs="Times New Roman"/>
          <w:sz w:val="24"/>
          <w:szCs w:val="24"/>
        </w:rPr>
        <w:t xml:space="preserve">Vállalati </w:t>
      </w:r>
      <w:r w:rsidR="0040010D">
        <w:rPr>
          <w:rFonts w:ascii="Times New Roman" w:hAnsi="Times New Roman" w:cs="Times New Roman"/>
          <w:sz w:val="24"/>
          <w:szCs w:val="24"/>
        </w:rPr>
        <w:lastRenderedPageBreak/>
        <w:t xml:space="preserve">helyszínű akkreditált képzések, rugalmasabb mérnöktanár-szakoktatói képzés, mérnökök, gazdaságban dolgozó szakemberek nagyobb szerepvállalása az oktatásban és </w:t>
      </w:r>
      <w:r w:rsidR="0040010D">
        <w:t xml:space="preserve">a </w:t>
      </w:r>
      <w:r w:rsidR="0040010D" w:rsidRPr="0040010D">
        <w:rPr>
          <w:rFonts w:ascii="Times New Roman" w:hAnsi="Times New Roman" w:cs="Times New Roman"/>
          <w:sz w:val="24"/>
          <w:szCs w:val="24"/>
        </w:rPr>
        <w:t>szakképzés sajátosságaira épülő új minősítési rendsz</w:t>
      </w:r>
      <w:r w:rsidR="0040010D">
        <w:rPr>
          <w:rFonts w:ascii="Times New Roman" w:hAnsi="Times New Roman" w:cs="Times New Roman"/>
          <w:sz w:val="24"/>
          <w:szCs w:val="24"/>
        </w:rPr>
        <w:t xml:space="preserve">er, életpályamodell kialakítása. </w:t>
      </w:r>
      <w:r w:rsidR="00F475B1" w:rsidRPr="0040010D">
        <w:rPr>
          <w:rFonts w:ascii="Times New Roman" w:hAnsi="Times New Roman" w:cs="Times New Roman"/>
          <w:sz w:val="24"/>
          <w:szCs w:val="24"/>
        </w:rPr>
        <w:t>A változási folyamat elindult</w:t>
      </w:r>
      <w:r w:rsidR="00991B8E" w:rsidRPr="0040010D">
        <w:rPr>
          <w:rFonts w:ascii="Times New Roman" w:hAnsi="Times New Roman" w:cs="Times New Roman"/>
          <w:sz w:val="24"/>
          <w:szCs w:val="24"/>
        </w:rPr>
        <w:t xml:space="preserve"> mind a szerkezetet, mind a tartalom tekintetében. Az elkövetk</w:t>
      </w:r>
      <w:r w:rsidR="0040010D">
        <w:rPr>
          <w:rFonts w:ascii="Times New Roman" w:hAnsi="Times New Roman" w:cs="Times New Roman"/>
          <w:sz w:val="24"/>
          <w:szCs w:val="24"/>
        </w:rPr>
        <w:t>ező időszak jelentős feladata a</w:t>
      </w:r>
      <w:r w:rsidR="00991B8E" w:rsidRPr="0040010D">
        <w:rPr>
          <w:rFonts w:ascii="Times New Roman" w:hAnsi="Times New Roman" w:cs="Times New Roman"/>
          <w:sz w:val="24"/>
          <w:szCs w:val="24"/>
        </w:rPr>
        <w:t xml:space="preserve"> szakképzés 4.0 stratégia intézményi szintű megvalósítása.</w:t>
      </w:r>
      <w:r w:rsidR="00DE3710">
        <w:rPr>
          <w:rFonts w:ascii="Times New Roman" w:hAnsi="Times New Roman" w:cs="Times New Roman"/>
          <w:sz w:val="24"/>
          <w:szCs w:val="24"/>
        </w:rPr>
        <w:t xml:space="preserve"> A legfontosabb feladatként meghatározható, hogy az Országos Képzési Jegyzéket felváltó Szakmajegyzék beillesztésre kerüljön az iskola képzési rendjébe.</w:t>
      </w:r>
    </w:p>
    <w:p w:rsidR="0040010D" w:rsidRDefault="0040010D" w:rsidP="0040010D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programom összeállítása során áttekintettem az Alapító Okiratot, a Pedagógiai Programot és az Intézményi Minőségirányítási Programot. A dokumentumok az igazgatói cikluson átnyúlva határozzák meg a fejlesztendő területeket, a fejlesztés irányait a benne foglaltakat nem elemzem, mert úgy gondolom az intézményvezető mindenkori feladata a dokumentumokban megfogalmazott elvek képviselete. </w:t>
      </w:r>
    </w:p>
    <w:p w:rsidR="00374D28" w:rsidRDefault="00374D28" w:rsidP="0040010D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D28" w:rsidRPr="00374D28" w:rsidRDefault="00374D28" w:rsidP="0040010D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74D28">
        <w:rPr>
          <w:rFonts w:ascii="Times New Roman" w:hAnsi="Times New Roman" w:cs="Times New Roman"/>
          <w:b/>
          <w:sz w:val="32"/>
          <w:szCs w:val="32"/>
        </w:rPr>
        <w:t>Kompetenciák fejlesztése</w:t>
      </w:r>
    </w:p>
    <w:p w:rsidR="00991B8E" w:rsidRDefault="00991B8E" w:rsidP="00F2780B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D28" w:rsidRDefault="00374D28" w:rsidP="00374D28">
      <w:pPr>
        <w:pStyle w:val="Szvegtrzsbehzssal"/>
        <w:spacing w:after="120"/>
        <w:ind w:left="539"/>
        <w:jc w:val="both"/>
      </w:pPr>
      <w:r>
        <w:t>A mindenkori igazgató elsőrendű feladatának tartom az intézmény versenyképességének a fokozását, a fenntartható fejlődés feltételeinek megteremtését, a szakképzés folyamatos alakítását a változó munkaerő-piaci elvárásokhoz folyamatosan igazodó képzéssé.</w:t>
      </w:r>
    </w:p>
    <w:p w:rsidR="00374D28" w:rsidRDefault="00374D28" w:rsidP="00374D28">
      <w:pPr>
        <w:pStyle w:val="Szvegtrzsbehzssal"/>
        <w:spacing w:after="120"/>
        <w:ind w:left="539"/>
        <w:jc w:val="both"/>
      </w:pPr>
      <w:r>
        <w:t>A versenyképesség és a fenntartható fejlődés kritériumok tartalmi meghatározója a kompetencia alapú tanulás-tanítás, az iskola nyitása az oktatási minőség felé. Meg kell határoznunk azokat a kompetenciákat, amelyekkel tanulóinknak rendelkezniük kell az egyes képzési szakaszok befejezésekor. Kompetenciák fejlesztésében kiemelt szerepet szánok a teljesség igénye nélkül az alábbiaknak:</w:t>
      </w:r>
    </w:p>
    <w:p w:rsidR="00374D28" w:rsidRDefault="00374D28" w:rsidP="00374D28">
      <w:pPr>
        <w:pStyle w:val="Szvegtrzsbehzssal"/>
        <w:numPr>
          <w:ilvl w:val="0"/>
          <w:numId w:val="7"/>
        </w:numPr>
        <w:spacing w:after="120"/>
        <w:jc w:val="both"/>
      </w:pPr>
      <w:r>
        <w:t xml:space="preserve">A tanult, megszerzett vagy elsajátított ismeretek jelentésének megértése, felhasználási, alkalmazási területeik megismerése. </w:t>
      </w:r>
    </w:p>
    <w:p w:rsidR="00374D28" w:rsidRDefault="00374D28" w:rsidP="00374D28">
      <w:pPr>
        <w:pStyle w:val="Szvegtrzsbehzssal"/>
        <w:numPr>
          <w:ilvl w:val="0"/>
          <w:numId w:val="7"/>
        </w:numPr>
        <w:spacing w:after="120"/>
        <w:jc w:val="both"/>
      </w:pPr>
      <w:r>
        <w:t xml:space="preserve">Az élethosszig tartó tanulás és a szükséges </w:t>
      </w:r>
      <w:proofErr w:type="gramStart"/>
      <w:r>
        <w:t>pálya</w:t>
      </w:r>
      <w:r w:rsidR="0073088C">
        <w:t>módosítás</w:t>
      </w:r>
      <w:r>
        <w:t>(</w:t>
      </w:r>
      <w:proofErr w:type="gramEnd"/>
      <w:r w:rsidR="0073088C">
        <w:t>o</w:t>
      </w:r>
      <w:r>
        <w:t>k) sikerességének biztosítására a tanulás tanítása és/vagy tanulása, az egymásra épülő tudáselemek (modul) felhasználásának, kiegészítésének képessége, mindazon műveltségterületek, tudástartalmak megszerzése, melyek széles alapozást biztosítanak (ma általános műveltségnek nevezzük) az egyedi, speciális ismeretek megszerzéséhez.</w:t>
      </w:r>
    </w:p>
    <w:p w:rsidR="00374D28" w:rsidRDefault="00374D28" w:rsidP="00374D28">
      <w:pPr>
        <w:pStyle w:val="Szvegtrzsbehzssal"/>
        <w:numPr>
          <w:ilvl w:val="0"/>
          <w:numId w:val="7"/>
        </w:numPr>
        <w:spacing w:after="120"/>
        <w:jc w:val="both"/>
      </w:pPr>
      <w:r>
        <w:lastRenderedPageBreak/>
        <w:t>A kreativitás, a döntésképesség, az önismeret és önmenedzselés, a konfliktuskezelés, a csapatmunkára alkalmasság azok a kompetenciák, melyek nélkül a munka világába egyre nehezebb és egyre sikertelenebb a beilleszkedés.</w:t>
      </w:r>
    </w:p>
    <w:p w:rsidR="00374D28" w:rsidRDefault="00374D28" w:rsidP="00374D28">
      <w:pPr>
        <w:pStyle w:val="Szvegtrzsbehzssal"/>
        <w:numPr>
          <w:ilvl w:val="0"/>
          <w:numId w:val="7"/>
        </w:numPr>
        <w:spacing w:after="120"/>
        <w:jc w:val="both"/>
      </w:pPr>
      <w:r>
        <w:t xml:space="preserve">A különböző kommunikációs kompetenciák (anyanyelvi, idegen nyelvi, elektronikus) elsajátítási és alkalmazási szintjei döntő elemévé válnak az egyén életének és szakmai pályafutásának. </w:t>
      </w:r>
    </w:p>
    <w:p w:rsidR="00374D28" w:rsidRDefault="00374D28" w:rsidP="00374D28">
      <w:pPr>
        <w:pStyle w:val="Szvegtrzsbehzssal"/>
        <w:numPr>
          <w:ilvl w:val="0"/>
          <w:numId w:val="7"/>
        </w:numPr>
        <w:spacing w:after="120"/>
        <w:jc w:val="both"/>
      </w:pPr>
      <w:r>
        <w:t>Az egyes műveltségterületekhez, tudástartalmakhoz kapcsolódó digitális kompetenciák, melyek szükséges hátteret biztosítanak az élethosszig tartó tanulás megvalósításához.</w:t>
      </w:r>
    </w:p>
    <w:p w:rsidR="00374D28" w:rsidRDefault="00374D28" w:rsidP="00374D28">
      <w:pPr>
        <w:pStyle w:val="Szvegtrzsbehzssal"/>
        <w:spacing w:after="120"/>
        <w:ind w:left="539"/>
        <w:jc w:val="both"/>
      </w:pPr>
    </w:p>
    <w:p w:rsidR="00374D28" w:rsidRDefault="00374D28" w:rsidP="00374D28">
      <w:pPr>
        <w:pStyle w:val="Szvegtrzsbehzssal"/>
        <w:spacing w:after="120"/>
        <w:ind w:left="539"/>
        <w:jc w:val="both"/>
        <w:rPr>
          <w:spacing w:val="4"/>
        </w:rPr>
      </w:pPr>
      <w:r>
        <w:rPr>
          <w:spacing w:val="4"/>
        </w:rPr>
        <w:t xml:space="preserve">A változások egyre inkább hangsúlyozzák a továbbképzések iránti szükségletet is, természetesen intézményen belül is sokat lehet tenni azért, hogy a </w:t>
      </w:r>
      <w:proofErr w:type="gramStart"/>
      <w:r>
        <w:rPr>
          <w:spacing w:val="4"/>
        </w:rPr>
        <w:t>pedagógusok  fokozatosan</w:t>
      </w:r>
      <w:proofErr w:type="gramEnd"/>
      <w:r>
        <w:rPr>
          <w:spacing w:val="4"/>
        </w:rPr>
        <w:t xml:space="preserve"> sajátítsák el a jó gyakorlatokat és egyéniségüknek megfelelően építsék be tanítási, módszertani kultúrájukba. </w:t>
      </w:r>
    </w:p>
    <w:p w:rsidR="00E37E07" w:rsidRDefault="00E37E07" w:rsidP="00374D28">
      <w:pPr>
        <w:pStyle w:val="Szvegtrzsbehzssal"/>
        <w:spacing w:after="120"/>
        <w:ind w:left="539"/>
        <w:jc w:val="both"/>
        <w:rPr>
          <w:spacing w:val="4"/>
        </w:rPr>
      </w:pPr>
    </w:p>
    <w:p w:rsidR="00E37E07" w:rsidRDefault="00E37E07" w:rsidP="00374D28">
      <w:pPr>
        <w:pStyle w:val="Szvegtrzsbehzssal"/>
        <w:spacing w:after="120"/>
        <w:ind w:left="539"/>
        <w:jc w:val="both"/>
        <w:rPr>
          <w:spacing w:val="4"/>
        </w:rPr>
      </w:pPr>
    </w:p>
    <w:p w:rsidR="00AA5617" w:rsidRDefault="00AA5617" w:rsidP="00374D28">
      <w:pPr>
        <w:pStyle w:val="Szvegtrzsbehzssal"/>
        <w:spacing w:after="120"/>
        <w:ind w:left="539"/>
        <w:jc w:val="both"/>
        <w:rPr>
          <w:spacing w:val="4"/>
        </w:rPr>
      </w:pPr>
    </w:p>
    <w:p w:rsidR="00AA5617" w:rsidRPr="00AA5617" w:rsidRDefault="00AA5617" w:rsidP="00374D28">
      <w:pPr>
        <w:pStyle w:val="Szvegtrzsbehzssal"/>
        <w:spacing w:after="120"/>
        <w:ind w:left="539"/>
        <w:jc w:val="both"/>
        <w:rPr>
          <w:b/>
          <w:spacing w:val="4"/>
          <w:sz w:val="32"/>
          <w:szCs w:val="32"/>
        </w:rPr>
      </w:pPr>
      <w:r w:rsidRPr="00AA5617">
        <w:rPr>
          <w:b/>
          <w:spacing w:val="4"/>
          <w:sz w:val="32"/>
          <w:szCs w:val="32"/>
        </w:rPr>
        <w:t>Képzések a különböző iskolatípusokban:</w:t>
      </w:r>
    </w:p>
    <w:p w:rsidR="00AA5617" w:rsidRDefault="00AA5617" w:rsidP="00374D28">
      <w:pPr>
        <w:pStyle w:val="Szvegtrzsbehzssal"/>
        <w:spacing w:after="120"/>
        <w:ind w:left="539"/>
        <w:jc w:val="both"/>
        <w:rPr>
          <w:b/>
          <w:spacing w:val="4"/>
          <w:sz w:val="32"/>
          <w:szCs w:val="32"/>
        </w:rPr>
      </w:pPr>
      <w:r w:rsidRPr="00AA5617">
        <w:rPr>
          <w:b/>
          <w:spacing w:val="4"/>
          <w:sz w:val="32"/>
          <w:szCs w:val="32"/>
        </w:rPr>
        <w:t>Szakgimnáziumi (Technikusi) képzés</w:t>
      </w:r>
    </w:p>
    <w:p w:rsidR="00E37E07" w:rsidRPr="00E37E07" w:rsidRDefault="00E37E07" w:rsidP="00374D28">
      <w:pPr>
        <w:pStyle w:val="Szvegtrzsbehzssal"/>
        <w:spacing w:after="120"/>
        <w:ind w:left="539"/>
        <w:jc w:val="both"/>
        <w:rPr>
          <w:spacing w:val="4"/>
          <w:szCs w:val="24"/>
        </w:rPr>
      </w:pPr>
      <w:r w:rsidRPr="00E37E07">
        <w:rPr>
          <w:spacing w:val="4"/>
          <w:szCs w:val="24"/>
        </w:rPr>
        <w:t xml:space="preserve">Az intézményben </w:t>
      </w:r>
      <w:r>
        <w:rPr>
          <w:spacing w:val="4"/>
          <w:szCs w:val="24"/>
        </w:rPr>
        <w:t xml:space="preserve">az egészségügyi; közlekedésgépész; közlekedés, szállítmányozás és logisztika; informatika és gépészet </w:t>
      </w:r>
      <w:r w:rsidR="00D813FE">
        <w:rPr>
          <w:spacing w:val="4"/>
          <w:szCs w:val="24"/>
        </w:rPr>
        <w:t>szakmacsoportban</w:t>
      </w:r>
      <w:r>
        <w:rPr>
          <w:spacing w:val="4"/>
          <w:szCs w:val="24"/>
        </w:rPr>
        <w:t xml:space="preserve"> folyik képzés. </w:t>
      </w:r>
    </w:p>
    <w:p w:rsidR="00232FF7" w:rsidRPr="00232FF7" w:rsidRDefault="00232FF7" w:rsidP="00232FF7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2FF7">
        <w:rPr>
          <w:rFonts w:ascii="Times New Roman" w:hAnsi="Times New Roman" w:cs="Times New Roman"/>
          <w:sz w:val="24"/>
          <w:szCs w:val="24"/>
        </w:rPr>
        <w:t>egészségügy</w:t>
      </w:r>
    </w:p>
    <w:p w:rsidR="00232FF7" w:rsidRPr="00232FF7" w:rsidRDefault="00232FF7" w:rsidP="00232FF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32FF7">
        <w:rPr>
          <w:rFonts w:ascii="Times New Roman" w:hAnsi="Times New Roman" w:cs="Times New Roman"/>
          <w:sz w:val="24"/>
          <w:szCs w:val="24"/>
        </w:rPr>
        <w:t>érettségivel</w:t>
      </w:r>
      <w:proofErr w:type="gramEnd"/>
      <w:r w:rsidRPr="00232FF7">
        <w:rPr>
          <w:rFonts w:ascii="Times New Roman" w:hAnsi="Times New Roman" w:cs="Times New Roman"/>
          <w:sz w:val="24"/>
          <w:szCs w:val="24"/>
        </w:rPr>
        <w:t xml:space="preserve"> megszerezhető: általános ápolási és egészségügyi asszisztens</w:t>
      </w:r>
    </w:p>
    <w:p w:rsidR="00232FF7" w:rsidRPr="00232FF7" w:rsidRDefault="00232FF7" w:rsidP="00232FF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32FF7">
        <w:rPr>
          <w:rFonts w:ascii="Times New Roman" w:hAnsi="Times New Roman" w:cs="Times New Roman"/>
          <w:sz w:val="24"/>
          <w:szCs w:val="24"/>
        </w:rPr>
        <w:t>ötödév</w:t>
      </w:r>
      <w:proofErr w:type="gramEnd"/>
      <w:r w:rsidRPr="00232FF7">
        <w:rPr>
          <w:rFonts w:ascii="Times New Roman" w:hAnsi="Times New Roman" w:cs="Times New Roman"/>
          <w:sz w:val="24"/>
          <w:szCs w:val="24"/>
        </w:rPr>
        <w:t xml:space="preserve"> után: gyakorló ápoló</w:t>
      </w:r>
    </w:p>
    <w:p w:rsidR="00232FF7" w:rsidRPr="00232FF7" w:rsidRDefault="00232FF7" w:rsidP="00232FF7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32FF7">
        <w:rPr>
          <w:rFonts w:ascii="Times New Roman" w:hAnsi="Times New Roman" w:cs="Times New Roman"/>
          <w:sz w:val="24"/>
          <w:szCs w:val="24"/>
        </w:rPr>
        <w:t>gyakorló</w:t>
      </w:r>
      <w:proofErr w:type="gramEnd"/>
      <w:r w:rsidRPr="00232FF7">
        <w:rPr>
          <w:rFonts w:ascii="Times New Roman" w:hAnsi="Times New Roman" w:cs="Times New Roman"/>
          <w:sz w:val="24"/>
          <w:szCs w:val="24"/>
        </w:rPr>
        <w:t xml:space="preserve"> mentőápoló</w:t>
      </w:r>
    </w:p>
    <w:p w:rsidR="00232FF7" w:rsidRPr="00232FF7" w:rsidRDefault="00232FF7" w:rsidP="00232FF7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2FF7">
        <w:rPr>
          <w:rFonts w:ascii="Times New Roman" w:hAnsi="Times New Roman" w:cs="Times New Roman"/>
          <w:sz w:val="24"/>
          <w:szCs w:val="24"/>
        </w:rPr>
        <w:t>közlekedésgépész</w:t>
      </w:r>
    </w:p>
    <w:p w:rsidR="00232FF7" w:rsidRPr="00232FF7" w:rsidRDefault="00232FF7" w:rsidP="00232FF7">
      <w:pPr>
        <w:autoSpaceDE w:val="0"/>
        <w:autoSpaceDN w:val="0"/>
        <w:adjustRightInd w:val="0"/>
        <w:spacing w:after="0" w:line="360" w:lineRule="auto"/>
        <w:ind w:left="12" w:firstLine="696"/>
        <w:rPr>
          <w:rFonts w:ascii="Times New Roman" w:hAnsi="Times New Roman" w:cs="Times New Roman"/>
          <w:sz w:val="24"/>
          <w:szCs w:val="24"/>
        </w:rPr>
      </w:pPr>
      <w:proofErr w:type="gramStart"/>
      <w:r w:rsidRPr="00232FF7">
        <w:rPr>
          <w:rFonts w:ascii="Times New Roman" w:hAnsi="Times New Roman" w:cs="Times New Roman"/>
          <w:sz w:val="24"/>
          <w:szCs w:val="24"/>
        </w:rPr>
        <w:t>érettségivel</w:t>
      </w:r>
      <w:proofErr w:type="gramEnd"/>
      <w:r w:rsidRPr="00232FF7">
        <w:rPr>
          <w:rFonts w:ascii="Times New Roman" w:hAnsi="Times New Roman" w:cs="Times New Roman"/>
          <w:sz w:val="24"/>
          <w:szCs w:val="24"/>
        </w:rPr>
        <w:t xml:space="preserve"> megszerezhető: kerékpárszerelő</w:t>
      </w:r>
    </w:p>
    <w:p w:rsidR="00232FF7" w:rsidRPr="00232FF7" w:rsidRDefault="00232FF7" w:rsidP="00232FF7">
      <w:pPr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232FF7">
        <w:rPr>
          <w:rFonts w:ascii="Times New Roman" w:hAnsi="Times New Roman" w:cs="Times New Roman"/>
          <w:sz w:val="24"/>
          <w:szCs w:val="24"/>
        </w:rPr>
        <w:t>emelőgépkezelő</w:t>
      </w:r>
      <w:proofErr w:type="spellEnd"/>
    </w:p>
    <w:p w:rsidR="00232FF7" w:rsidRPr="00232FF7" w:rsidRDefault="00232FF7" w:rsidP="00232FF7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32FF7">
        <w:rPr>
          <w:rFonts w:ascii="Times New Roman" w:hAnsi="Times New Roman" w:cs="Times New Roman"/>
          <w:sz w:val="24"/>
          <w:szCs w:val="24"/>
        </w:rPr>
        <w:t>elektronikai</w:t>
      </w:r>
      <w:proofErr w:type="gramEnd"/>
      <w:r w:rsidRPr="00232FF7">
        <w:rPr>
          <w:rFonts w:ascii="Times New Roman" w:hAnsi="Times New Roman" w:cs="Times New Roman"/>
          <w:sz w:val="24"/>
          <w:szCs w:val="24"/>
        </w:rPr>
        <w:t xml:space="preserve"> műszerész</w:t>
      </w:r>
    </w:p>
    <w:p w:rsidR="00232FF7" w:rsidRPr="00232FF7" w:rsidRDefault="00232FF7" w:rsidP="00232FF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32FF7">
        <w:rPr>
          <w:rFonts w:ascii="Times New Roman" w:hAnsi="Times New Roman" w:cs="Times New Roman"/>
          <w:sz w:val="24"/>
          <w:szCs w:val="24"/>
        </w:rPr>
        <w:t>ötödév</w:t>
      </w:r>
      <w:proofErr w:type="gramEnd"/>
      <w:r w:rsidRPr="00232FF7">
        <w:rPr>
          <w:rFonts w:ascii="Times New Roman" w:hAnsi="Times New Roman" w:cs="Times New Roman"/>
          <w:sz w:val="24"/>
          <w:szCs w:val="24"/>
        </w:rPr>
        <w:t xml:space="preserve"> után: autószerelő</w:t>
      </w:r>
    </w:p>
    <w:p w:rsidR="00232FF7" w:rsidRPr="00232FF7" w:rsidRDefault="00232FF7" w:rsidP="00232FF7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proofErr w:type="gramStart"/>
      <w:r w:rsidRPr="00232FF7">
        <w:rPr>
          <w:rFonts w:ascii="Times New Roman" w:hAnsi="Times New Roman" w:cs="Times New Roman"/>
          <w:sz w:val="24"/>
          <w:szCs w:val="24"/>
        </w:rPr>
        <w:t>autóelektronikai</w:t>
      </w:r>
      <w:proofErr w:type="gramEnd"/>
      <w:r w:rsidRPr="00232FF7">
        <w:rPr>
          <w:rFonts w:ascii="Times New Roman" w:hAnsi="Times New Roman" w:cs="Times New Roman"/>
          <w:sz w:val="24"/>
          <w:szCs w:val="24"/>
        </w:rPr>
        <w:t xml:space="preserve"> műszerész</w:t>
      </w:r>
    </w:p>
    <w:p w:rsidR="00232FF7" w:rsidRPr="00232FF7" w:rsidRDefault="00232FF7" w:rsidP="00232FF7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2FF7">
        <w:rPr>
          <w:rFonts w:ascii="Times New Roman" w:hAnsi="Times New Roman" w:cs="Times New Roman"/>
          <w:sz w:val="24"/>
          <w:szCs w:val="24"/>
        </w:rPr>
        <w:t>Közlekedés, szállítmányozás és logisztika</w:t>
      </w:r>
    </w:p>
    <w:p w:rsidR="00232FF7" w:rsidRPr="00232FF7" w:rsidRDefault="00232FF7" w:rsidP="00232FF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32FF7">
        <w:rPr>
          <w:rFonts w:ascii="Times New Roman" w:hAnsi="Times New Roman" w:cs="Times New Roman"/>
          <w:sz w:val="24"/>
          <w:szCs w:val="24"/>
        </w:rPr>
        <w:t>érettségivel</w:t>
      </w:r>
      <w:proofErr w:type="gramEnd"/>
      <w:r w:rsidRPr="00232FF7">
        <w:rPr>
          <w:rFonts w:ascii="Times New Roman" w:hAnsi="Times New Roman" w:cs="Times New Roman"/>
          <w:sz w:val="24"/>
          <w:szCs w:val="24"/>
        </w:rPr>
        <w:t xml:space="preserve"> megszerezhető: vállalkozási ügyintéző</w:t>
      </w:r>
    </w:p>
    <w:p w:rsidR="00232FF7" w:rsidRPr="00232FF7" w:rsidRDefault="00232FF7" w:rsidP="00232FF7">
      <w:pPr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32FF7">
        <w:rPr>
          <w:rFonts w:ascii="Times New Roman" w:hAnsi="Times New Roman" w:cs="Times New Roman"/>
          <w:sz w:val="24"/>
          <w:szCs w:val="24"/>
        </w:rPr>
        <w:t>vámügyintéző</w:t>
      </w:r>
      <w:proofErr w:type="gramEnd"/>
    </w:p>
    <w:p w:rsidR="00232FF7" w:rsidRPr="00232FF7" w:rsidRDefault="00232FF7" w:rsidP="00232FF7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32FF7">
        <w:rPr>
          <w:rFonts w:ascii="Times New Roman" w:hAnsi="Times New Roman" w:cs="Times New Roman"/>
          <w:sz w:val="24"/>
          <w:szCs w:val="24"/>
        </w:rPr>
        <w:t>pénzügyi</w:t>
      </w:r>
      <w:proofErr w:type="gramEnd"/>
      <w:r w:rsidRPr="00232FF7">
        <w:rPr>
          <w:rFonts w:ascii="Times New Roman" w:hAnsi="Times New Roman" w:cs="Times New Roman"/>
          <w:sz w:val="24"/>
          <w:szCs w:val="24"/>
        </w:rPr>
        <w:t xml:space="preserve"> ügyintéző</w:t>
      </w:r>
    </w:p>
    <w:p w:rsidR="00232FF7" w:rsidRPr="00232FF7" w:rsidRDefault="00232FF7" w:rsidP="00232FF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32FF7">
        <w:rPr>
          <w:rFonts w:ascii="Times New Roman" w:hAnsi="Times New Roman" w:cs="Times New Roman"/>
          <w:sz w:val="24"/>
          <w:szCs w:val="24"/>
        </w:rPr>
        <w:t>ötödév</w:t>
      </w:r>
      <w:proofErr w:type="gramEnd"/>
      <w:r w:rsidRPr="00232FF7">
        <w:rPr>
          <w:rFonts w:ascii="Times New Roman" w:hAnsi="Times New Roman" w:cs="Times New Roman"/>
          <w:sz w:val="24"/>
          <w:szCs w:val="24"/>
        </w:rPr>
        <w:t xml:space="preserve"> után: logisztikai és szállítmányozási ügyintéző</w:t>
      </w:r>
    </w:p>
    <w:p w:rsidR="00232FF7" w:rsidRPr="00232FF7" w:rsidRDefault="00232FF7" w:rsidP="00232FF7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2FF7">
        <w:rPr>
          <w:rFonts w:ascii="Times New Roman" w:hAnsi="Times New Roman" w:cs="Times New Roman"/>
          <w:sz w:val="24"/>
          <w:szCs w:val="24"/>
        </w:rPr>
        <w:t>informatika</w:t>
      </w:r>
    </w:p>
    <w:p w:rsidR="00232FF7" w:rsidRPr="00232FF7" w:rsidRDefault="00232FF7" w:rsidP="00232FF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32FF7">
        <w:rPr>
          <w:rFonts w:ascii="Times New Roman" w:hAnsi="Times New Roman" w:cs="Times New Roman"/>
          <w:sz w:val="24"/>
          <w:szCs w:val="24"/>
        </w:rPr>
        <w:t>érettségivel</w:t>
      </w:r>
      <w:proofErr w:type="gramEnd"/>
      <w:r w:rsidRPr="00232FF7">
        <w:rPr>
          <w:rFonts w:ascii="Times New Roman" w:hAnsi="Times New Roman" w:cs="Times New Roman"/>
          <w:sz w:val="24"/>
          <w:szCs w:val="24"/>
        </w:rPr>
        <w:t xml:space="preserve"> megszerezhető: irodai informatikus</w:t>
      </w:r>
    </w:p>
    <w:p w:rsidR="00232FF7" w:rsidRPr="00232FF7" w:rsidRDefault="00232FF7" w:rsidP="00232FF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32FF7">
        <w:rPr>
          <w:rFonts w:ascii="Times New Roman" w:hAnsi="Times New Roman" w:cs="Times New Roman"/>
          <w:sz w:val="24"/>
          <w:szCs w:val="24"/>
        </w:rPr>
        <w:t>ötödév</w:t>
      </w:r>
      <w:proofErr w:type="gramEnd"/>
      <w:r w:rsidRPr="00232FF7">
        <w:rPr>
          <w:rFonts w:ascii="Times New Roman" w:hAnsi="Times New Roman" w:cs="Times New Roman"/>
          <w:sz w:val="24"/>
          <w:szCs w:val="24"/>
        </w:rPr>
        <w:t xml:space="preserve"> után: műszaki informatikus</w:t>
      </w:r>
    </w:p>
    <w:p w:rsidR="00232FF7" w:rsidRPr="00232FF7" w:rsidRDefault="00232FF7" w:rsidP="00232FF7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2FF7">
        <w:rPr>
          <w:rFonts w:ascii="Times New Roman" w:hAnsi="Times New Roman" w:cs="Times New Roman"/>
          <w:sz w:val="24"/>
          <w:szCs w:val="24"/>
        </w:rPr>
        <w:t>gépészet</w:t>
      </w:r>
    </w:p>
    <w:p w:rsidR="00232FF7" w:rsidRPr="00232FF7" w:rsidRDefault="00232FF7" w:rsidP="00232FF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32FF7">
        <w:rPr>
          <w:rFonts w:ascii="Times New Roman" w:hAnsi="Times New Roman" w:cs="Times New Roman"/>
          <w:sz w:val="24"/>
          <w:szCs w:val="24"/>
        </w:rPr>
        <w:t>érettségivel</w:t>
      </w:r>
      <w:proofErr w:type="gramEnd"/>
      <w:r w:rsidRPr="00232FF7">
        <w:rPr>
          <w:rFonts w:ascii="Times New Roman" w:hAnsi="Times New Roman" w:cs="Times New Roman"/>
          <w:sz w:val="24"/>
          <w:szCs w:val="24"/>
        </w:rPr>
        <w:t xml:space="preserve"> megszerezhető: villamos berendezés szerelő és üzemeltető</w:t>
      </w:r>
    </w:p>
    <w:p w:rsidR="00AA5617" w:rsidRDefault="00232FF7" w:rsidP="00232FF7">
      <w:pPr>
        <w:pStyle w:val="Szvegtrzsbehzssal"/>
        <w:spacing w:after="120"/>
        <w:ind w:left="539" w:firstLine="169"/>
        <w:jc w:val="both"/>
        <w:rPr>
          <w:szCs w:val="24"/>
        </w:rPr>
      </w:pPr>
      <w:proofErr w:type="gramStart"/>
      <w:r w:rsidRPr="00232FF7">
        <w:rPr>
          <w:szCs w:val="24"/>
        </w:rPr>
        <w:t>ötödév</w:t>
      </w:r>
      <w:proofErr w:type="gramEnd"/>
      <w:r w:rsidRPr="00232FF7">
        <w:rPr>
          <w:szCs w:val="24"/>
        </w:rPr>
        <w:t xml:space="preserve"> után: mechatronikai technikus</w:t>
      </w:r>
    </w:p>
    <w:p w:rsidR="005041A0" w:rsidRDefault="005041A0" w:rsidP="005041A0">
      <w:pPr>
        <w:pStyle w:val="Szvegtrzsbehzssal"/>
        <w:spacing w:after="120"/>
        <w:ind w:left="0"/>
        <w:jc w:val="both"/>
        <w:rPr>
          <w:szCs w:val="24"/>
        </w:rPr>
      </w:pPr>
      <w:r>
        <w:rPr>
          <w:szCs w:val="24"/>
        </w:rPr>
        <w:t xml:space="preserve">A 2020/2021-es tanévtől </w:t>
      </w:r>
      <w:r w:rsidR="000E66A6">
        <w:rPr>
          <w:szCs w:val="24"/>
        </w:rPr>
        <w:t>négy ágazaton kezdődik el a technikusi képzés:</w:t>
      </w:r>
    </w:p>
    <w:p w:rsidR="000E66A6" w:rsidRDefault="000E66A6" w:rsidP="000E66A6">
      <w:pPr>
        <w:pStyle w:val="Szvegtrzsbehzssal"/>
        <w:numPr>
          <w:ilvl w:val="0"/>
          <w:numId w:val="8"/>
        </w:numPr>
        <w:spacing w:after="120"/>
        <w:jc w:val="both"/>
        <w:rPr>
          <w:spacing w:val="4"/>
          <w:szCs w:val="24"/>
        </w:rPr>
      </w:pPr>
      <w:r>
        <w:rPr>
          <w:spacing w:val="4"/>
          <w:szCs w:val="24"/>
        </w:rPr>
        <w:t>egészségügy, megszerezhető végzettség: gyakorló ápoló</w:t>
      </w:r>
    </w:p>
    <w:p w:rsidR="000E66A6" w:rsidRDefault="000E66A6" w:rsidP="000E66A6">
      <w:pPr>
        <w:pStyle w:val="Szvegtrzsbehzssal"/>
        <w:numPr>
          <w:ilvl w:val="0"/>
          <w:numId w:val="8"/>
        </w:numPr>
        <w:spacing w:after="120"/>
        <w:jc w:val="both"/>
        <w:rPr>
          <w:spacing w:val="4"/>
          <w:szCs w:val="24"/>
        </w:rPr>
      </w:pPr>
      <w:r>
        <w:rPr>
          <w:spacing w:val="4"/>
          <w:szCs w:val="24"/>
        </w:rPr>
        <w:t>elektronika és elektrotechnika, megszerezhető végzettség: ipari informatikai technikus</w:t>
      </w:r>
    </w:p>
    <w:p w:rsidR="000E66A6" w:rsidRDefault="000E66A6" w:rsidP="000E66A6">
      <w:pPr>
        <w:pStyle w:val="Szvegtrzsbehzssal"/>
        <w:numPr>
          <w:ilvl w:val="0"/>
          <w:numId w:val="8"/>
        </w:numPr>
        <w:spacing w:after="120"/>
        <w:jc w:val="both"/>
        <w:rPr>
          <w:spacing w:val="4"/>
          <w:szCs w:val="24"/>
        </w:rPr>
      </w:pPr>
      <w:r>
        <w:rPr>
          <w:spacing w:val="4"/>
          <w:szCs w:val="24"/>
        </w:rPr>
        <w:t>közlekedés és szállítmányozás, megszerezhető végzettség: logisztikai technikus</w:t>
      </w:r>
    </w:p>
    <w:p w:rsidR="000E66A6" w:rsidRDefault="000E66A6" w:rsidP="000E66A6">
      <w:pPr>
        <w:pStyle w:val="Szvegtrzsbehzssal"/>
        <w:numPr>
          <w:ilvl w:val="0"/>
          <w:numId w:val="8"/>
        </w:numPr>
        <w:spacing w:after="120"/>
        <w:jc w:val="both"/>
        <w:rPr>
          <w:spacing w:val="4"/>
          <w:szCs w:val="24"/>
        </w:rPr>
      </w:pPr>
      <w:r>
        <w:rPr>
          <w:spacing w:val="4"/>
          <w:szCs w:val="24"/>
        </w:rPr>
        <w:t>specializált gép- és járműgyártás, megszerezhető végzettségek: gépjármű mechatronikai technikus, mechatronikai technikus</w:t>
      </w:r>
    </w:p>
    <w:p w:rsidR="00107A24" w:rsidRPr="005B1905" w:rsidRDefault="00107A24" w:rsidP="003F3ECF">
      <w:pPr>
        <w:spacing w:after="60" w:line="360" w:lineRule="auto"/>
        <w:ind w:left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1905">
        <w:rPr>
          <w:rFonts w:ascii="Times New Roman" w:hAnsi="Times New Roman" w:cs="Times New Roman"/>
          <w:sz w:val="24"/>
          <w:szCs w:val="24"/>
        </w:rPr>
        <w:t xml:space="preserve">Munkaerő-piaci szempontból stabil kereslet mutatkozik </w:t>
      </w:r>
      <w:r w:rsidR="003F3ECF" w:rsidRPr="005B1905">
        <w:rPr>
          <w:rFonts w:ascii="Times New Roman" w:hAnsi="Times New Roman" w:cs="Times New Roman"/>
          <w:sz w:val="24"/>
          <w:szCs w:val="24"/>
        </w:rPr>
        <w:t>a</w:t>
      </w:r>
      <w:r w:rsidR="005B1905" w:rsidRPr="005B1905">
        <w:rPr>
          <w:rFonts w:ascii="Times New Roman" w:hAnsi="Times New Roman" w:cs="Times New Roman"/>
          <w:sz w:val="24"/>
          <w:szCs w:val="24"/>
        </w:rPr>
        <w:t xml:space="preserve"> szakgimnáziumi (tervezett technikumi) képzéseink iránt</w:t>
      </w:r>
      <w:r w:rsidRPr="005B1905">
        <w:rPr>
          <w:rFonts w:ascii="Times New Roman" w:hAnsi="Times New Roman" w:cs="Times New Roman"/>
          <w:sz w:val="24"/>
          <w:szCs w:val="24"/>
        </w:rPr>
        <w:t>, ezért ezen a területen a képzésben résztvevők abszolút számát semmi esetre sem lenne célszerű csökkenteni, sőt egyes részterületeken a növelést is érdemes megfontolni</w:t>
      </w:r>
      <w:r w:rsidR="005B1905" w:rsidRPr="005B1905">
        <w:rPr>
          <w:rFonts w:ascii="Times New Roman" w:hAnsi="Times New Roman" w:cs="Times New Roman"/>
          <w:sz w:val="24"/>
          <w:szCs w:val="24"/>
        </w:rPr>
        <w:t>.</w:t>
      </w:r>
      <w:r w:rsidRPr="005B19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1905" w:rsidRPr="001414DD">
        <w:rPr>
          <w:rFonts w:ascii="Times New Roman" w:hAnsi="Times New Roman" w:cs="Times New Roman"/>
          <w:sz w:val="24"/>
          <w:szCs w:val="24"/>
        </w:rPr>
        <w:t xml:space="preserve">Az iskolai </w:t>
      </w:r>
      <w:proofErr w:type="spellStart"/>
      <w:r w:rsidR="005B1905" w:rsidRPr="001414DD">
        <w:rPr>
          <w:rFonts w:ascii="Times New Roman" w:hAnsi="Times New Roman" w:cs="Times New Roman"/>
          <w:sz w:val="24"/>
          <w:szCs w:val="24"/>
        </w:rPr>
        <w:t>alumni</w:t>
      </w:r>
      <w:proofErr w:type="spellEnd"/>
      <w:r w:rsidR="005B1905" w:rsidRPr="001414DD">
        <w:rPr>
          <w:rFonts w:ascii="Times New Roman" w:hAnsi="Times New Roman" w:cs="Times New Roman"/>
          <w:sz w:val="24"/>
          <w:szCs w:val="24"/>
        </w:rPr>
        <w:t xml:space="preserve"> program</w:t>
      </w:r>
      <w:r w:rsidR="001414DD" w:rsidRPr="001414DD">
        <w:rPr>
          <w:rFonts w:ascii="Times New Roman" w:hAnsi="Times New Roman" w:cs="Times New Roman"/>
          <w:sz w:val="24"/>
          <w:szCs w:val="24"/>
        </w:rPr>
        <w:t xml:space="preserve"> </w:t>
      </w:r>
      <w:r w:rsidR="001414DD">
        <w:rPr>
          <w:rFonts w:ascii="Times New Roman" w:hAnsi="Times New Roman" w:cs="Times New Roman"/>
          <w:sz w:val="24"/>
          <w:szCs w:val="24"/>
        </w:rPr>
        <w:t>kiépítésével pedig folyamatos</w:t>
      </w:r>
      <w:r w:rsidRPr="001414DD">
        <w:rPr>
          <w:rFonts w:ascii="Times New Roman" w:hAnsi="Times New Roman" w:cs="Times New Roman"/>
          <w:sz w:val="24"/>
          <w:szCs w:val="24"/>
        </w:rPr>
        <w:t xml:space="preserve"> </w:t>
      </w:r>
      <w:r w:rsidR="001414DD">
        <w:rPr>
          <w:rFonts w:ascii="Times New Roman" w:hAnsi="Times New Roman" w:cs="Times New Roman"/>
          <w:sz w:val="24"/>
          <w:szCs w:val="24"/>
        </w:rPr>
        <w:t>visszacsatolást kaphatunk</w:t>
      </w:r>
      <w:r w:rsidRPr="001414DD">
        <w:rPr>
          <w:rFonts w:ascii="Times New Roman" w:hAnsi="Times New Roman" w:cs="Times New Roman"/>
          <w:sz w:val="24"/>
          <w:szCs w:val="24"/>
        </w:rPr>
        <w:t xml:space="preserve"> az iskola képzési rendszerének piacképességéről.</w:t>
      </w:r>
    </w:p>
    <w:p w:rsidR="00AE51CC" w:rsidRPr="00134647" w:rsidRDefault="00107A24" w:rsidP="00134647">
      <w:pPr>
        <w:pStyle w:val="Szvegtrzsbehzssal"/>
        <w:spacing w:after="120"/>
        <w:ind w:left="360"/>
        <w:jc w:val="both"/>
        <w:rPr>
          <w:spacing w:val="4"/>
        </w:rPr>
      </w:pPr>
      <w:r>
        <w:rPr>
          <w:spacing w:val="4"/>
        </w:rPr>
        <w:t>A s</w:t>
      </w:r>
      <w:r w:rsidRPr="00F475B1">
        <w:rPr>
          <w:szCs w:val="24"/>
        </w:rPr>
        <w:t xml:space="preserve">zakmával rendelkezők két éves szakközépiskolája </w:t>
      </w:r>
      <w:r>
        <w:rPr>
          <w:spacing w:val="4"/>
        </w:rPr>
        <w:t xml:space="preserve">továbbra is lehetőségként biztosított a már szakmával rendelkező tanulók nappali rendszerű érettségire felkészítő oktatására. </w:t>
      </w:r>
    </w:p>
    <w:p w:rsidR="00AE51CC" w:rsidRDefault="00AE51CC" w:rsidP="00AE51C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51CC" w:rsidRDefault="00AE51CC" w:rsidP="00AE51CC">
      <w:pPr>
        <w:pStyle w:val="Szvegtrzsbehzssal"/>
        <w:spacing w:after="120"/>
        <w:ind w:left="539"/>
        <w:jc w:val="both"/>
        <w:rPr>
          <w:b/>
          <w:spacing w:val="4"/>
          <w:sz w:val="32"/>
          <w:szCs w:val="32"/>
        </w:rPr>
      </w:pPr>
      <w:r w:rsidRPr="00AA5617">
        <w:rPr>
          <w:b/>
          <w:spacing w:val="4"/>
          <w:sz w:val="32"/>
          <w:szCs w:val="32"/>
        </w:rPr>
        <w:t>Szak</w:t>
      </w:r>
      <w:r>
        <w:rPr>
          <w:b/>
          <w:spacing w:val="4"/>
          <w:sz w:val="32"/>
          <w:szCs w:val="32"/>
        </w:rPr>
        <w:t>középiskolai</w:t>
      </w:r>
      <w:r w:rsidRPr="00AA5617">
        <w:rPr>
          <w:b/>
          <w:spacing w:val="4"/>
          <w:sz w:val="32"/>
          <w:szCs w:val="32"/>
        </w:rPr>
        <w:t xml:space="preserve"> (</w:t>
      </w:r>
      <w:r>
        <w:rPr>
          <w:b/>
          <w:spacing w:val="4"/>
          <w:sz w:val="32"/>
          <w:szCs w:val="32"/>
        </w:rPr>
        <w:t>Szakiskolai</w:t>
      </w:r>
      <w:r w:rsidRPr="00AA5617">
        <w:rPr>
          <w:b/>
          <w:spacing w:val="4"/>
          <w:sz w:val="32"/>
          <w:szCs w:val="32"/>
        </w:rPr>
        <w:t>) képzés</w:t>
      </w:r>
    </w:p>
    <w:p w:rsidR="00AE51CC" w:rsidRDefault="00AE51CC" w:rsidP="00AE51CC">
      <w:pPr>
        <w:pStyle w:val="Szvegtrzsbehzssal"/>
        <w:spacing w:after="120"/>
        <w:ind w:left="539"/>
        <w:jc w:val="both"/>
        <w:rPr>
          <w:b/>
          <w:spacing w:val="4"/>
          <w:sz w:val="32"/>
          <w:szCs w:val="32"/>
        </w:rPr>
      </w:pPr>
    </w:p>
    <w:p w:rsidR="00AE51CC" w:rsidRDefault="00E9483E" w:rsidP="00E948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Az iskola </w:t>
      </w:r>
      <w:r w:rsidRPr="00E9483E"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elmút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években 24 szakmában ajánlott képzést  a szakközépiskolában:</w:t>
      </w:r>
      <w:r>
        <w:rPr>
          <w:spacing w:val="4"/>
          <w:szCs w:val="24"/>
        </w:rPr>
        <w:t xml:space="preserve"> </w:t>
      </w:r>
      <w:r w:rsidRPr="00E9483E">
        <w:rPr>
          <w:rFonts w:ascii="Times New Roman" w:hAnsi="Times New Roman" w:cs="Times New Roman"/>
          <w:sz w:val="24"/>
          <w:szCs w:val="24"/>
        </w:rPr>
        <w:t>asztalos</w:t>
      </w:r>
      <w:r>
        <w:rPr>
          <w:rFonts w:ascii="Times New Roman" w:hAnsi="Times New Roman" w:cs="Times New Roman"/>
          <w:sz w:val="24"/>
          <w:szCs w:val="24"/>
        </w:rPr>
        <w:t xml:space="preserve">, burkoló, eladó, </w:t>
      </w:r>
      <w:r w:rsidRPr="00E9483E">
        <w:rPr>
          <w:rFonts w:ascii="Times New Roman" w:hAnsi="Times New Roman" w:cs="Times New Roman"/>
          <w:sz w:val="24"/>
          <w:szCs w:val="24"/>
        </w:rPr>
        <w:t>ele</w:t>
      </w:r>
      <w:r>
        <w:rPr>
          <w:rFonts w:ascii="Times New Roman" w:hAnsi="Times New Roman" w:cs="Times New Roman"/>
          <w:sz w:val="24"/>
          <w:szCs w:val="24"/>
        </w:rPr>
        <w:t xml:space="preserve">ktromos gép- és készülékszerelő, édesipari termékgyártó, épület- és szerkezetlakatos, férfiszabó, </w:t>
      </w:r>
      <w:r w:rsidRPr="00E9483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estő, mázoló, tapétázó, fogadós, gépi forgácsoló, gyártósori gépbeállító, hegesztő, </w:t>
      </w:r>
      <w:r w:rsidRPr="00E9483E">
        <w:rPr>
          <w:rFonts w:ascii="Times New Roman" w:hAnsi="Times New Roman" w:cs="Times New Roman"/>
          <w:sz w:val="24"/>
          <w:szCs w:val="24"/>
        </w:rPr>
        <w:t xml:space="preserve">hűtő- </w:t>
      </w:r>
      <w:r>
        <w:rPr>
          <w:rFonts w:ascii="Times New Roman" w:hAnsi="Times New Roman" w:cs="Times New Roman"/>
          <w:sz w:val="24"/>
          <w:szCs w:val="24"/>
        </w:rPr>
        <w:t xml:space="preserve">és légtechnikai rendszerszerelő, ipari gépész, karosszérialakatos, kőműves, </w:t>
      </w:r>
      <w:proofErr w:type="spellStart"/>
      <w:r w:rsidRPr="00E9483E">
        <w:rPr>
          <w:rFonts w:ascii="Times New Roman" w:hAnsi="Times New Roman" w:cs="Times New Roman"/>
          <w:sz w:val="24"/>
          <w:szCs w:val="24"/>
        </w:rPr>
        <w:t>központifűtés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gázhálózat rendszerszerelő, </w:t>
      </w:r>
      <w:proofErr w:type="spellStart"/>
      <w:r>
        <w:rPr>
          <w:rFonts w:ascii="Times New Roman" w:hAnsi="Times New Roman" w:cs="Times New Roman"/>
          <w:sz w:val="24"/>
          <w:szCs w:val="24"/>
        </w:rPr>
        <w:t>műanyagfeldolgozó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női szabó, </w:t>
      </w:r>
      <w:r w:rsidRPr="00E9483E">
        <w:rPr>
          <w:rFonts w:ascii="Times New Roman" w:hAnsi="Times New Roman" w:cs="Times New Roman"/>
          <w:sz w:val="24"/>
          <w:szCs w:val="24"/>
        </w:rPr>
        <w:t>pé</w:t>
      </w:r>
      <w:r>
        <w:rPr>
          <w:rFonts w:ascii="Times New Roman" w:hAnsi="Times New Roman" w:cs="Times New Roman"/>
          <w:sz w:val="24"/>
          <w:szCs w:val="24"/>
        </w:rPr>
        <w:t xml:space="preserve">k, </w:t>
      </w:r>
      <w:r w:rsidRPr="00E9483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zámítógép- szerelő, karbantartó, szárazépítő, villanyszerelő és </w:t>
      </w:r>
      <w:r w:rsidRPr="00E9483E">
        <w:rPr>
          <w:rFonts w:ascii="Times New Roman" w:hAnsi="Times New Roman" w:cs="Times New Roman"/>
          <w:sz w:val="24"/>
          <w:szCs w:val="24"/>
        </w:rPr>
        <w:t>víz-, csatorna- és közmű-rendszerszerelő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83E" w:rsidRDefault="00E9483E" w:rsidP="00E948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2020/2021-es tanévtől nyolc ágazatban kezdődik el a képzés</w:t>
      </w:r>
      <w:r w:rsidR="00D813FE">
        <w:rPr>
          <w:rFonts w:ascii="Times New Roman" w:hAnsi="Times New Roman" w:cs="Times New Roman"/>
          <w:sz w:val="24"/>
          <w:szCs w:val="24"/>
        </w:rPr>
        <w:t>:</w:t>
      </w:r>
    </w:p>
    <w:p w:rsidR="00E9483E" w:rsidRDefault="00390EB5" w:rsidP="00390EB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elektronika és elektrotechnika ágazat</w:t>
      </w:r>
    </w:p>
    <w:p w:rsidR="00390EB5" w:rsidRDefault="00390EB5" w:rsidP="00390EB5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villanyszerelő</w:t>
      </w:r>
    </w:p>
    <w:p w:rsidR="00390EB5" w:rsidRDefault="00390EB5" w:rsidP="00390EB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élelmiszeripar ágazat</w:t>
      </w:r>
    </w:p>
    <w:p w:rsidR="00390EB5" w:rsidRDefault="00390EB5" w:rsidP="00390EB5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pék</w:t>
      </w:r>
    </w:p>
    <w:p w:rsidR="00390EB5" w:rsidRDefault="00390EB5" w:rsidP="00390EB5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építőipari ágazat</w:t>
      </w:r>
    </w:p>
    <w:p w:rsidR="00390EB5" w:rsidRDefault="00390EB5" w:rsidP="00390EB5">
      <w:pPr>
        <w:pStyle w:val="Listaszerbekezds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burkoló</w:t>
      </w:r>
    </w:p>
    <w:p w:rsidR="00390EB5" w:rsidRDefault="00390EB5" w:rsidP="00390EB5">
      <w:pPr>
        <w:pStyle w:val="Listaszerbekezds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festő, mázoló, tapétázó</w:t>
      </w:r>
    </w:p>
    <w:p w:rsidR="00390EB5" w:rsidRDefault="00390EB5" w:rsidP="00390EB5">
      <w:pPr>
        <w:pStyle w:val="Listaszerbekezds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kőműves</w:t>
      </w:r>
    </w:p>
    <w:p w:rsidR="00390EB5" w:rsidRDefault="00390EB5" w:rsidP="00390EB5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épületgépészet ágazat</w:t>
      </w:r>
    </w:p>
    <w:p w:rsidR="00390EB5" w:rsidRDefault="00390EB5" w:rsidP="00390EB5">
      <w:pPr>
        <w:pStyle w:val="Listaszerbekezds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központifűtés-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gázhálózat rendszerszerelő</w:t>
      </w:r>
    </w:p>
    <w:p w:rsidR="00390EB5" w:rsidRDefault="00390EB5" w:rsidP="00390EB5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fa- és bútoripar ágazat</w:t>
      </w:r>
    </w:p>
    <w:p w:rsidR="00390EB5" w:rsidRDefault="00390EB5" w:rsidP="00390EB5">
      <w:pPr>
        <w:pStyle w:val="Listaszerbekezds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asztalos</w:t>
      </w:r>
    </w:p>
    <w:p w:rsidR="00390EB5" w:rsidRDefault="00390EB5" w:rsidP="00390EB5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gépészet ágazat</w:t>
      </w:r>
    </w:p>
    <w:p w:rsidR="00390EB5" w:rsidRDefault="00390EB5" w:rsidP="00390EB5">
      <w:pPr>
        <w:pStyle w:val="Listaszerbekezds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gépi és CNC forgácsoló</w:t>
      </w:r>
    </w:p>
    <w:p w:rsidR="00390EB5" w:rsidRDefault="00390EB5" w:rsidP="00390EB5">
      <w:pPr>
        <w:pStyle w:val="Listaszerbekezds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hegesztő</w:t>
      </w:r>
    </w:p>
    <w:p w:rsidR="00390EB5" w:rsidRDefault="00390EB5" w:rsidP="00390EB5">
      <w:pPr>
        <w:pStyle w:val="Listaszerbekezds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ipari gépész</w:t>
      </w:r>
    </w:p>
    <w:p w:rsidR="00390EB5" w:rsidRDefault="00390EB5" w:rsidP="00390EB5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kereskedelem ágazat</w:t>
      </w:r>
    </w:p>
    <w:p w:rsidR="00390EB5" w:rsidRDefault="00390EB5" w:rsidP="00390EB5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kereskedelmi értékesítő</w:t>
      </w:r>
    </w:p>
    <w:p w:rsidR="00390EB5" w:rsidRDefault="00390EB5" w:rsidP="00390EB5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specializált gép és járműjavítás</w:t>
      </w:r>
    </w:p>
    <w:p w:rsidR="00390EB5" w:rsidRDefault="00390EB5" w:rsidP="00390EB5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gyártósori gépbeállító</w:t>
      </w:r>
    </w:p>
    <w:p w:rsidR="00390EB5" w:rsidRDefault="00390EB5" w:rsidP="00390EB5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karosszérialakatos</w:t>
      </w:r>
    </w:p>
    <w:p w:rsidR="00390EB5" w:rsidRDefault="00390EB5" w:rsidP="00390EB5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turizmus-vendéglátás ágazat</w:t>
      </w:r>
    </w:p>
    <w:p w:rsidR="00390EB5" w:rsidRPr="00390EB5" w:rsidRDefault="00390EB5" w:rsidP="00390EB5">
      <w:pPr>
        <w:pStyle w:val="Listaszerbekezds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panziós fogadós</w:t>
      </w:r>
    </w:p>
    <w:p w:rsidR="00AE51CC" w:rsidRDefault="00AE51CC" w:rsidP="00AE51C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52A8" w:rsidRDefault="009352A8" w:rsidP="00AE51C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Szakmajegyzék bevezetése és az alapszakmák számának módosulását követően két szakma az elektromos gép és készülékszerelő és a számítógép-szerelő karbantartó</w:t>
      </w:r>
      <w:r w:rsidR="002675FC">
        <w:rPr>
          <w:rFonts w:ascii="Times New Roman" w:hAnsi="Times New Roman" w:cs="Times New Roman"/>
          <w:sz w:val="24"/>
          <w:szCs w:val="24"/>
        </w:rPr>
        <w:t xml:space="preserve"> </w:t>
      </w:r>
      <w:r w:rsidR="00D813FE">
        <w:rPr>
          <w:rFonts w:ascii="Times New Roman" w:hAnsi="Times New Roman" w:cs="Times New Roman"/>
          <w:sz w:val="24"/>
          <w:szCs w:val="24"/>
        </w:rPr>
        <w:t xml:space="preserve">törlődött </w:t>
      </w:r>
      <w:r w:rsidR="002675FC">
        <w:rPr>
          <w:rFonts w:ascii="Times New Roman" w:hAnsi="Times New Roman" w:cs="Times New Roman"/>
          <w:sz w:val="24"/>
          <w:szCs w:val="24"/>
        </w:rPr>
        <w:t>a</w:t>
      </w:r>
      <w:r w:rsidR="00D813FE">
        <w:rPr>
          <w:rFonts w:ascii="Times New Roman" w:hAnsi="Times New Roman" w:cs="Times New Roman"/>
          <w:sz w:val="24"/>
          <w:szCs w:val="24"/>
        </w:rPr>
        <w:t>z alapszakmák közül</w:t>
      </w:r>
      <w:r w:rsidR="002675FC">
        <w:rPr>
          <w:rFonts w:ascii="Times New Roman" w:hAnsi="Times New Roman" w:cs="Times New Roman"/>
          <w:sz w:val="24"/>
          <w:szCs w:val="24"/>
        </w:rPr>
        <w:t>, illetve módosult az eladó, a gépi forgácsoló és fogadós szakma elnevezése, így a képzési kínálatban a kereskedelmi értékesítő, gépi és CNC forgácsoló valamint a panziós-fogadós került be.</w:t>
      </w:r>
    </w:p>
    <w:p w:rsidR="003833C8" w:rsidRDefault="003833C8" w:rsidP="003833C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struktúra m</w:t>
      </w:r>
      <w:r w:rsidR="007A2F33">
        <w:rPr>
          <w:rFonts w:ascii="Times New Roman" w:hAnsi="Times New Roman" w:cs="Times New Roman"/>
          <w:sz w:val="24"/>
          <w:szCs w:val="24"/>
        </w:rPr>
        <w:t>egfelel a jelentkező igényeknek:</w:t>
      </w:r>
      <w:r>
        <w:rPr>
          <w:rFonts w:ascii="Times New Roman" w:hAnsi="Times New Roman" w:cs="Times New Roman"/>
          <w:sz w:val="24"/>
          <w:szCs w:val="24"/>
        </w:rPr>
        <w:t xml:space="preserve"> a tanulók (szülők) pályaválasztási elvárásainak, a térség munkaerő-piaci elvárásainak és az intézmény humán</w:t>
      </w:r>
      <w:r w:rsidR="007A2F33">
        <w:rPr>
          <w:rFonts w:ascii="Times New Roman" w:hAnsi="Times New Roman" w:cs="Times New Roman"/>
          <w:sz w:val="24"/>
          <w:szCs w:val="24"/>
        </w:rPr>
        <w:t>erő forrásaival is összhangban van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7826">
        <w:rPr>
          <w:rFonts w:ascii="Times New Roman" w:hAnsi="Times New Roman" w:cs="Times New Roman"/>
          <w:sz w:val="24"/>
          <w:szCs w:val="24"/>
        </w:rPr>
        <w:t>A Lipóti Pékség Hatvanban kívánja felépíteni legkorszerűbb sütőipari üzemét így v</w:t>
      </w:r>
      <w:r>
        <w:rPr>
          <w:rFonts w:ascii="Times New Roman" w:hAnsi="Times New Roman" w:cs="Times New Roman"/>
          <w:sz w:val="24"/>
          <w:szCs w:val="24"/>
        </w:rPr>
        <w:t xml:space="preserve">árhatóan </w:t>
      </w:r>
      <w:r w:rsidR="00F27826">
        <w:rPr>
          <w:rFonts w:ascii="Times New Roman" w:hAnsi="Times New Roman" w:cs="Times New Roman"/>
          <w:sz w:val="24"/>
          <w:szCs w:val="24"/>
        </w:rPr>
        <w:t xml:space="preserve">leghamarabb </w:t>
      </w:r>
      <w:r>
        <w:rPr>
          <w:rFonts w:ascii="Times New Roman" w:hAnsi="Times New Roman" w:cs="Times New Roman"/>
          <w:sz w:val="24"/>
          <w:szCs w:val="24"/>
        </w:rPr>
        <w:t>az élelmiszeripari ágazaton (pék, édességkészítő) belül lesz lehetőség növelni a tanulói létszámot</w:t>
      </w:r>
      <w:r w:rsidR="00F278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41CC" w:rsidRDefault="004441CC" w:rsidP="003833C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41CC" w:rsidRDefault="004441CC" w:rsidP="003833C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41CC">
        <w:rPr>
          <w:rFonts w:ascii="Times New Roman" w:hAnsi="Times New Roman" w:cs="Times New Roman"/>
          <w:b/>
          <w:sz w:val="32"/>
          <w:szCs w:val="32"/>
        </w:rPr>
        <w:t>Felnőttoktatás</w:t>
      </w:r>
    </w:p>
    <w:p w:rsidR="004441CC" w:rsidRPr="004441CC" w:rsidRDefault="004441CC" w:rsidP="004441C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41CC">
        <w:rPr>
          <w:rFonts w:ascii="Times New Roman" w:hAnsi="Times New Roman" w:cs="Times New Roman"/>
          <w:sz w:val="24"/>
          <w:szCs w:val="24"/>
        </w:rPr>
        <w:t>Az iskola kiajánlja a felnőttképzésben valamennyi szakmáját, illetve ráépülésként az</w:t>
      </w:r>
    </w:p>
    <w:p w:rsidR="004441CC" w:rsidRPr="004441CC" w:rsidRDefault="004441CC" w:rsidP="004441C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1CC">
        <w:rPr>
          <w:rFonts w:ascii="Times New Roman" w:hAnsi="Times New Roman" w:cs="Times New Roman"/>
          <w:sz w:val="24"/>
          <w:szCs w:val="24"/>
        </w:rPr>
        <w:t>autótechnikus</w:t>
      </w:r>
      <w:proofErr w:type="spellEnd"/>
      <w:r w:rsidRPr="004441CC">
        <w:rPr>
          <w:rFonts w:ascii="Times New Roman" w:hAnsi="Times New Roman" w:cs="Times New Roman"/>
          <w:sz w:val="24"/>
          <w:szCs w:val="24"/>
        </w:rPr>
        <w:t xml:space="preserve">, </w:t>
      </w:r>
      <w:r w:rsidR="00F54C80">
        <w:rPr>
          <w:rFonts w:ascii="Times New Roman" w:hAnsi="Times New Roman" w:cs="Times New Roman"/>
          <w:sz w:val="24"/>
          <w:szCs w:val="24"/>
        </w:rPr>
        <w:t>továbbá</w:t>
      </w:r>
      <w:r w:rsidRPr="004441CC">
        <w:rPr>
          <w:rFonts w:ascii="Times New Roman" w:hAnsi="Times New Roman" w:cs="Times New Roman"/>
          <w:sz w:val="24"/>
          <w:szCs w:val="24"/>
        </w:rPr>
        <w:t xml:space="preserve"> a járműipari karbantartó technikus szakképesítés végezhető el,</w:t>
      </w:r>
    </w:p>
    <w:p w:rsidR="00F54C80" w:rsidRDefault="004441CC" w:rsidP="003054DB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4441CC">
        <w:rPr>
          <w:rFonts w:ascii="Times New Roman" w:hAnsi="Times New Roman" w:cs="Times New Roman"/>
          <w:sz w:val="24"/>
          <w:szCs w:val="24"/>
        </w:rPr>
        <w:t>megfelelő</w:t>
      </w:r>
      <w:proofErr w:type="gramEnd"/>
      <w:r w:rsidRPr="004441CC">
        <w:rPr>
          <w:rFonts w:ascii="Times New Roman" w:hAnsi="Times New Roman" w:cs="Times New Roman"/>
          <w:sz w:val="24"/>
          <w:szCs w:val="24"/>
        </w:rPr>
        <w:t xml:space="preserve"> bemeneti feltételek esetén.</w:t>
      </w:r>
      <w:r>
        <w:rPr>
          <w:rFonts w:ascii="Times New Roman" w:hAnsi="Times New Roman" w:cs="Times New Roman"/>
          <w:sz w:val="24"/>
          <w:szCs w:val="24"/>
        </w:rPr>
        <w:t xml:space="preserve"> Jelenleg érettségire épülő szakmában: autószerelő, </w:t>
      </w:r>
      <w:proofErr w:type="spellStart"/>
      <w:r>
        <w:rPr>
          <w:rFonts w:ascii="Times New Roman" w:hAnsi="Times New Roman" w:cs="Times New Roman"/>
          <w:sz w:val="24"/>
          <w:szCs w:val="24"/>
        </w:rPr>
        <w:t>autótechnikus</w:t>
      </w:r>
      <w:proofErr w:type="spellEnd"/>
      <w:r>
        <w:rPr>
          <w:rFonts w:ascii="Times New Roman" w:hAnsi="Times New Roman" w:cs="Times New Roman"/>
          <w:sz w:val="24"/>
          <w:szCs w:val="24"/>
        </w:rPr>
        <w:t>, logisztikai és szállítmányozási ügyintéző, mechatronikai technikus és műszaki informatikus, még az érettségire nem épülő szakmák tekintetében asztalos és villanyszerelő képzés folyik.</w:t>
      </w:r>
      <w:r w:rsidR="004A6BF1">
        <w:rPr>
          <w:rFonts w:ascii="Times New Roman" w:hAnsi="Times New Roman" w:cs="Times New Roman"/>
          <w:sz w:val="24"/>
          <w:szCs w:val="24"/>
        </w:rPr>
        <w:t xml:space="preserve"> </w:t>
      </w:r>
      <w:r w:rsidR="004A6BF1" w:rsidRPr="004A6BF1">
        <w:rPr>
          <w:rFonts w:ascii="Times New Roman" w:hAnsi="Times New Roman" w:cs="Times New Roman"/>
          <w:sz w:val="24"/>
          <w:szCs w:val="24"/>
        </w:rPr>
        <w:t>A kis- és középvállalkozások speciális igényeit elsősorban felnőttoktatással vagy</w:t>
      </w:r>
      <w:r w:rsidR="004A6BF1">
        <w:rPr>
          <w:rFonts w:ascii="Times New Roman" w:hAnsi="Times New Roman" w:cs="Times New Roman"/>
          <w:sz w:val="24"/>
          <w:szCs w:val="24"/>
        </w:rPr>
        <w:t xml:space="preserve"> </w:t>
      </w:r>
      <w:r w:rsidR="004A6BF1" w:rsidRPr="004A6BF1">
        <w:rPr>
          <w:rFonts w:ascii="Times New Roman" w:hAnsi="Times New Roman" w:cs="Times New Roman"/>
          <w:sz w:val="24"/>
          <w:szCs w:val="24"/>
        </w:rPr>
        <w:t xml:space="preserve">felnőttképzéssel kell kielégíteni. </w:t>
      </w:r>
      <w:r w:rsidR="003054DB">
        <w:rPr>
          <w:rFonts w:ascii="Times New Roman" w:hAnsi="Times New Roman" w:cs="Times New Roman"/>
          <w:sz w:val="24"/>
          <w:szCs w:val="24"/>
        </w:rPr>
        <w:t>Mindehhez a felnőttoktatásban rugalmas képzési időt, digitális tananyagtartalmak készítését és az előzetes tudás beszámítását kell biztosítani.</w:t>
      </w:r>
    </w:p>
    <w:p w:rsidR="00716C41" w:rsidRDefault="00716C41" w:rsidP="003054DB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16C41" w:rsidRPr="004A6BF1" w:rsidRDefault="00716C41" w:rsidP="003054DB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441CC" w:rsidRDefault="004441CC" w:rsidP="003833C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41CC">
        <w:rPr>
          <w:rFonts w:ascii="Times New Roman" w:hAnsi="Times New Roman" w:cs="Times New Roman"/>
          <w:b/>
          <w:sz w:val="32"/>
          <w:szCs w:val="32"/>
        </w:rPr>
        <w:t>Szakmai elméleti és gyakorlati oktatás</w:t>
      </w:r>
    </w:p>
    <w:p w:rsidR="000B63B4" w:rsidRPr="00716C41" w:rsidRDefault="00506BAE" w:rsidP="00895EF6">
      <w:pPr>
        <w:pStyle w:val="Szvegtrzsbehzssal"/>
        <w:spacing w:after="120"/>
        <w:ind w:left="539"/>
        <w:jc w:val="both"/>
        <w:rPr>
          <w:szCs w:val="24"/>
        </w:rPr>
      </w:pPr>
      <w:r w:rsidRPr="00CA3214">
        <w:t xml:space="preserve">A szakképzés tekintetében </w:t>
      </w:r>
      <w:r>
        <w:t>a változások a közeli jövőben</w:t>
      </w:r>
      <w:r w:rsidRPr="00CA3214">
        <w:t xml:space="preserve"> minden eddigi</w:t>
      </w:r>
      <w:r>
        <w:t>hez</w:t>
      </w:r>
      <w:r w:rsidRPr="00CA3214">
        <w:t xml:space="preserve"> képest nagyobb</w:t>
      </w:r>
      <w:r>
        <w:t>ak lesznek</w:t>
      </w:r>
      <w:r w:rsidR="00716C41">
        <w:t>.</w:t>
      </w:r>
      <w:r w:rsidR="00895EF6">
        <w:t xml:space="preserve"> A fenntartóval együttműködve elő kell segíteni, hogy a vállalatoknál dolgozó mérnökök, gazdaságban dolgozó szakemberek nagyobb szerepet vállaljanak az oktatásban, ezzel elősegítve a szakmai elméleti tanárok leterheltségének csökkentését és pótolják a korábban jelentkező szakember hiányt.</w:t>
      </w:r>
    </w:p>
    <w:p w:rsidR="00AC4B1F" w:rsidRDefault="00506BAE" w:rsidP="00716C41">
      <w:pPr>
        <w:spacing w:after="120" w:line="36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716C41">
        <w:rPr>
          <w:rFonts w:ascii="Times New Roman" w:hAnsi="Times New Roman" w:cs="Times New Roman"/>
          <w:sz w:val="24"/>
          <w:szCs w:val="24"/>
        </w:rPr>
        <w:t xml:space="preserve">A gyakorlati oktatás színvonalas megszervezése az iskola </w:t>
      </w:r>
      <w:r w:rsidR="00716C41">
        <w:rPr>
          <w:rFonts w:ascii="Times New Roman" w:hAnsi="Times New Roman" w:cs="Times New Roman"/>
          <w:sz w:val="24"/>
          <w:szCs w:val="24"/>
        </w:rPr>
        <w:t xml:space="preserve">egyik legfontosabb </w:t>
      </w:r>
      <w:r w:rsidRPr="00716C41">
        <w:rPr>
          <w:rFonts w:ascii="Times New Roman" w:hAnsi="Times New Roman" w:cs="Times New Roman"/>
          <w:sz w:val="24"/>
          <w:szCs w:val="24"/>
        </w:rPr>
        <w:t xml:space="preserve">feladata. </w:t>
      </w:r>
      <w:r w:rsidR="00716C41">
        <w:rPr>
          <w:rFonts w:ascii="Times New Roman" w:hAnsi="Times New Roman" w:cs="Times New Roman"/>
          <w:sz w:val="24"/>
          <w:szCs w:val="24"/>
        </w:rPr>
        <w:t>Legeredményesebb képzés a gyakorlatban a tapasztalati tanulás útján valósítható meg.</w:t>
      </w:r>
      <w:r w:rsidRPr="00716C41">
        <w:rPr>
          <w:rFonts w:ascii="Times New Roman" w:hAnsi="Times New Roman" w:cs="Times New Roman"/>
          <w:sz w:val="24"/>
          <w:szCs w:val="24"/>
        </w:rPr>
        <w:t xml:space="preserve"> </w:t>
      </w:r>
      <w:r w:rsidR="00AC4B1F">
        <w:rPr>
          <w:rFonts w:ascii="Times New Roman" w:hAnsi="Times New Roman" w:cs="Times New Roman"/>
          <w:sz w:val="24"/>
          <w:szCs w:val="24"/>
        </w:rPr>
        <w:t xml:space="preserve">A </w:t>
      </w:r>
      <w:r w:rsidR="00AC4B1F">
        <w:rPr>
          <w:rFonts w:ascii="Times New Roman" w:hAnsi="Times New Roman" w:cs="Times New Roman"/>
          <w:sz w:val="24"/>
          <w:szCs w:val="24"/>
        </w:rPr>
        <w:lastRenderedPageBreak/>
        <w:t xml:space="preserve">kilencedik évfolyamot követően a szakmák többségénél a tanulók duális képzésben </w:t>
      </w:r>
      <w:r w:rsidRPr="00716C41">
        <w:rPr>
          <w:rFonts w:ascii="Times New Roman" w:hAnsi="Times New Roman" w:cs="Times New Roman"/>
          <w:sz w:val="24"/>
          <w:szCs w:val="24"/>
        </w:rPr>
        <w:t>tanulószerződéssel vállalatoknál, vállalkozóknál tanulják</w:t>
      </w:r>
      <w:r w:rsidR="00AC4B1F">
        <w:rPr>
          <w:rFonts w:ascii="Times New Roman" w:hAnsi="Times New Roman" w:cs="Times New Roman"/>
          <w:sz w:val="24"/>
          <w:szCs w:val="24"/>
        </w:rPr>
        <w:t>, sajátítják el</w:t>
      </w:r>
      <w:r w:rsidRPr="00716C41">
        <w:rPr>
          <w:rFonts w:ascii="Times New Roman" w:hAnsi="Times New Roman" w:cs="Times New Roman"/>
          <w:sz w:val="24"/>
          <w:szCs w:val="24"/>
        </w:rPr>
        <w:t xml:space="preserve"> a gyakorlati ismereteket. </w:t>
      </w:r>
      <w:r w:rsidR="00AC4B1F">
        <w:rPr>
          <w:rFonts w:ascii="Times New Roman" w:hAnsi="Times New Roman" w:cs="Times New Roman"/>
          <w:sz w:val="24"/>
          <w:szCs w:val="24"/>
        </w:rPr>
        <w:t xml:space="preserve">87 gazdálkodó szervezetnél összesen 306 fő teljesíti gyakorlatát. Legtöbben 43 fő a Robert Bosch Elektronika Kft-nél vannak, még 61 gazdálkodó szervezet egy vagy két főt alkalmaz. </w:t>
      </w:r>
      <w:r w:rsidR="000B63B4">
        <w:rPr>
          <w:rFonts w:ascii="Times New Roman" w:hAnsi="Times New Roman" w:cs="Times New Roman"/>
          <w:sz w:val="24"/>
          <w:szCs w:val="24"/>
        </w:rPr>
        <w:t>A gazdálkodó szervezetekkel a kialakított kapcsolatokat fenn kell tartani, bővíteni szükséges illetve erősíteni kell azokat (pl. felnőttoktatás keretében munkaerő-piaci igények szerinti képzés), hogy az előttünk álló időszakban az iskola tanulóinak megfelelő alternatívákat tudjunk kínálni.</w:t>
      </w:r>
    </w:p>
    <w:p w:rsidR="00AC77A5" w:rsidRDefault="00AC4B1F" w:rsidP="00716C41">
      <w:pPr>
        <w:spacing w:after="120" w:line="36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98D">
        <w:rPr>
          <w:rFonts w:ascii="Times New Roman" w:hAnsi="Times New Roman" w:cs="Times New Roman"/>
          <w:sz w:val="24"/>
          <w:szCs w:val="24"/>
        </w:rPr>
        <w:t>Tanműhelye</w:t>
      </w:r>
      <w:r w:rsidR="00506BAE" w:rsidRPr="00716C41">
        <w:rPr>
          <w:rFonts w:ascii="Times New Roman" w:hAnsi="Times New Roman" w:cs="Times New Roman"/>
          <w:sz w:val="24"/>
          <w:szCs w:val="24"/>
        </w:rPr>
        <w:t xml:space="preserve">kben </w:t>
      </w:r>
      <w:r w:rsidR="00A8098D">
        <w:rPr>
          <w:rFonts w:ascii="Times New Roman" w:hAnsi="Times New Roman" w:cs="Times New Roman"/>
          <w:sz w:val="24"/>
          <w:szCs w:val="24"/>
        </w:rPr>
        <w:t xml:space="preserve">és az iskolában kialakított gyakorlati helységekben </w:t>
      </w:r>
      <w:r w:rsidR="00506BAE" w:rsidRPr="00716C41">
        <w:rPr>
          <w:rFonts w:ascii="Times New Roman" w:hAnsi="Times New Roman" w:cs="Times New Roman"/>
          <w:sz w:val="24"/>
          <w:szCs w:val="24"/>
        </w:rPr>
        <w:t>jó tárgyi es</w:t>
      </w:r>
      <w:r w:rsidR="00A8098D">
        <w:rPr>
          <w:rFonts w:ascii="Times New Roman" w:hAnsi="Times New Roman" w:cs="Times New Roman"/>
          <w:sz w:val="24"/>
          <w:szCs w:val="24"/>
        </w:rPr>
        <w:t>zközökkel folyik az alapképzés</w:t>
      </w:r>
      <w:r w:rsidR="00506BAE" w:rsidRPr="00716C41">
        <w:rPr>
          <w:rFonts w:ascii="Times New Roman" w:hAnsi="Times New Roman" w:cs="Times New Roman"/>
          <w:sz w:val="24"/>
          <w:szCs w:val="24"/>
        </w:rPr>
        <w:t xml:space="preserve">. </w:t>
      </w:r>
      <w:r w:rsidR="00AC77A5">
        <w:rPr>
          <w:rFonts w:ascii="Times New Roman" w:hAnsi="Times New Roman" w:cs="Times New Roman"/>
          <w:sz w:val="24"/>
          <w:szCs w:val="24"/>
        </w:rPr>
        <w:t xml:space="preserve">Folyamatosnak mondhatók az anyag illetve az eszközbeszerzések minden szakma képzésénél. Természetesen vannak anyagigényesebb és kevésbé anyagigényes szakmák, illetve olyan </w:t>
      </w:r>
      <w:proofErr w:type="gramStart"/>
      <w:r w:rsidR="00AC77A5">
        <w:rPr>
          <w:rFonts w:ascii="Times New Roman" w:hAnsi="Times New Roman" w:cs="Times New Roman"/>
          <w:sz w:val="24"/>
          <w:szCs w:val="24"/>
        </w:rPr>
        <w:t>szakmák</w:t>
      </w:r>
      <w:proofErr w:type="gramEnd"/>
      <w:r w:rsidR="00AC77A5">
        <w:rPr>
          <w:rFonts w:ascii="Times New Roman" w:hAnsi="Times New Roman" w:cs="Times New Roman"/>
          <w:sz w:val="24"/>
          <w:szCs w:val="24"/>
        </w:rPr>
        <w:t xml:space="preserve"> amelyeknél nagyobb arányú a lemorzsolódás, tehát a következő időszak beszerzéseinél mindezt figyelembe kell venni. </w:t>
      </w:r>
    </w:p>
    <w:p w:rsidR="00506BAE" w:rsidRDefault="00506BAE" w:rsidP="003833C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6BF1" w:rsidRDefault="004A6BF1" w:rsidP="003833C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6BF1" w:rsidRDefault="004A6BF1" w:rsidP="003833C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Kollégiumi ellátás</w:t>
      </w:r>
    </w:p>
    <w:p w:rsidR="00940903" w:rsidRPr="00940903" w:rsidRDefault="00940903" w:rsidP="00940903">
      <w:pPr>
        <w:spacing w:after="120" w:line="36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940903">
        <w:rPr>
          <w:rFonts w:ascii="Times New Roman" w:hAnsi="Times New Roman" w:cs="Times New Roman"/>
          <w:sz w:val="24"/>
          <w:szCs w:val="24"/>
        </w:rPr>
        <w:t xml:space="preserve">A száz férőhelyes kollégium kihasználtsága folyamatosan csökken, jelen tanévben 25%-os. Törekedni kell a kihasználtság növelésére összhangban a másik három hatvani középfokú </w:t>
      </w:r>
      <w:r>
        <w:rPr>
          <w:rFonts w:ascii="Times New Roman" w:hAnsi="Times New Roman" w:cs="Times New Roman"/>
          <w:sz w:val="24"/>
          <w:szCs w:val="24"/>
        </w:rPr>
        <w:t>nevelési intézménn</w:t>
      </w:r>
      <w:r w:rsidRPr="00940903">
        <w:rPr>
          <w:rFonts w:ascii="Times New Roman" w:hAnsi="Times New Roman" w:cs="Times New Roman"/>
          <w:sz w:val="24"/>
          <w:szCs w:val="24"/>
        </w:rPr>
        <w:t>yel. A kollégiumi tanulólétszám csökkenésének okát elsősorban abban látom, hogy a szakköz</w:t>
      </w:r>
      <w:r>
        <w:rPr>
          <w:rFonts w:ascii="Times New Roman" w:hAnsi="Times New Roman" w:cs="Times New Roman"/>
          <w:sz w:val="24"/>
          <w:szCs w:val="24"/>
        </w:rPr>
        <w:t>épiskolai képzés átalakulásával</w:t>
      </w:r>
      <w:r w:rsidRPr="00940903">
        <w:rPr>
          <w:rFonts w:ascii="Times New Roman" w:hAnsi="Times New Roman" w:cs="Times New Roman"/>
          <w:sz w:val="24"/>
          <w:szCs w:val="24"/>
        </w:rPr>
        <w:t xml:space="preserve"> a lakóhelyhez közel is találhat minden tanuló érdeklődésének megfelelő iskolát, valamint a családoknak sok esetben gondot okoz az étkezési díj megfizetése. Erőfeszítéséket kell tenni a kollégium élet még vonzóbbá tételéhez, a diákok (nem csak </w:t>
      </w:r>
      <w:proofErr w:type="spellStart"/>
      <w:r w:rsidRPr="00940903">
        <w:rPr>
          <w:rFonts w:ascii="Times New Roman" w:hAnsi="Times New Roman" w:cs="Times New Roman"/>
          <w:sz w:val="24"/>
          <w:szCs w:val="24"/>
        </w:rPr>
        <w:t>DISZI-s</w:t>
      </w:r>
      <w:proofErr w:type="spellEnd"/>
      <w:r w:rsidRPr="00940903">
        <w:rPr>
          <w:rFonts w:ascii="Times New Roman" w:hAnsi="Times New Roman" w:cs="Times New Roman"/>
          <w:sz w:val="24"/>
          <w:szCs w:val="24"/>
        </w:rPr>
        <w:t>) érdeklődésének felkeltéséhez, a kollégiumi élet pozitívumainak bemutatásával.</w:t>
      </w:r>
    </w:p>
    <w:p w:rsidR="004A6BF1" w:rsidRDefault="00940903" w:rsidP="003276D6">
      <w:pPr>
        <w:spacing w:after="120" w:line="36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940903">
        <w:rPr>
          <w:rFonts w:ascii="Times New Roman" w:hAnsi="Times New Roman" w:cs="Times New Roman"/>
          <w:sz w:val="24"/>
          <w:szCs w:val="24"/>
        </w:rPr>
        <w:t xml:space="preserve">Az iskola versenyképességének megőrzéséhez, a fentebb említett célok megvalósításához anyagi eszközökre van szükség. </w:t>
      </w:r>
      <w:r>
        <w:rPr>
          <w:rFonts w:ascii="Times New Roman" w:hAnsi="Times New Roman" w:cs="Times New Roman"/>
          <w:sz w:val="24"/>
          <w:szCs w:val="24"/>
        </w:rPr>
        <w:t xml:space="preserve">Elsősorban a korábbi pályázatok megvalósítását kell elérni és új pályázati források bevonásával lehet a kollégiumot </w:t>
      </w:r>
      <w:r w:rsidR="00F26CF5">
        <w:rPr>
          <w:rFonts w:ascii="Times New Roman" w:hAnsi="Times New Roman" w:cs="Times New Roman"/>
          <w:sz w:val="24"/>
          <w:szCs w:val="24"/>
        </w:rPr>
        <w:t>fejleszteni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6D6" w:rsidRPr="003276D6" w:rsidRDefault="003276D6" w:rsidP="003276D6">
      <w:pPr>
        <w:spacing w:after="120" w:line="36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16721E" w:rsidRDefault="0016721E" w:rsidP="003833C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Pályaorientáció</w:t>
      </w:r>
    </w:p>
    <w:p w:rsidR="00741FDF" w:rsidRPr="00741FDF" w:rsidRDefault="00741FDF" w:rsidP="003833C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Az elmúlt öt év viszonylatában a nappali rendszerben tanuló diákok száma összességében 22 %-kal csökkent.  </w:t>
      </w:r>
      <w:r w:rsidRPr="00741FDF">
        <w:rPr>
          <w:rFonts w:ascii="Times New Roman" w:hAnsi="Times New Roman" w:cs="Times New Roman"/>
          <w:sz w:val="24"/>
          <w:szCs w:val="24"/>
        </w:rPr>
        <w:t xml:space="preserve">A létszámcsökkenés oka </w:t>
      </w:r>
      <w:r>
        <w:rPr>
          <w:rFonts w:ascii="Times New Roman" w:hAnsi="Times New Roman" w:cs="Times New Roman"/>
          <w:sz w:val="24"/>
          <w:szCs w:val="24"/>
        </w:rPr>
        <w:t>egyrészt a 9-10. osztályra épülő két illetve hároméves szakképzés kivezetésében</w:t>
      </w:r>
      <w:r w:rsidR="00097B31">
        <w:rPr>
          <w:rFonts w:ascii="Times New Roman" w:hAnsi="Times New Roman" w:cs="Times New Roman"/>
          <w:sz w:val="24"/>
          <w:szCs w:val="24"/>
        </w:rPr>
        <w:t xml:space="preserve">, másrészt </w:t>
      </w:r>
      <w:r w:rsidR="007E1B42">
        <w:rPr>
          <w:rFonts w:ascii="Times New Roman" w:hAnsi="Times New Roman" w:cs="Times New Roman"/>
          <w:sz w:val="24"/>
          <w:szCs w:val="24"/>
        </w:rPr>
        <w:t xml:space="preserve">- mivel továbbra is csökkenő tendenciát mutat megyénk lakónépességének száma - </w:t>
      </w:r>
      <w:r w:rsidRPr="00741FDF">
        <w:rPr>
          <w:rFonts w:ascii="Times New Roman" w:hAnsi="Times New Roman" w:cs="Times New Roman"/>
          <w:sz w:val="24"/>
          <w:szCs w:val="24"/>
        </w:rPr>
        <w:t>a demográfiai változásokban kereshető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721E">
        <w:rPr>
          <w:rFonts w:ascii="Times New Roman" w:hAnsi="Times New Roman" w:cs="Times New Roman"/>
          <w:sz w:val="24"/>
          <w:szCs w:val="24"/>
        </w:rPr>
        <w:t xml:space="preserve"> </w:t>
      </w:r>
      <w:r w:rsidR="0016721E" w:rsidRPr="0016721E">
        <w:rPr>
          <w:rFonts w:ascii="Times New Roman" w:hAnsi="Times New Roman" w:cs="Times New Roman"/>
          <w:sz w:val="24"/>
          <w:szCs w:val="24"/>
        </w:rPr>
        <w:t>A tanulólétszám megőrzése, emelése rendkívül fontos feladat, mert ezáltal tartjuk az optimális méretnagyságot, így gazdaságosabban működtethető az intézmény</w:t>
      </w:r>
      <w:r w:rsidR="0016721E">
        <w:rPr>
          <w:rFonts w:ascii="Times New Roman" w:hAnsi="Times New Roman" w:cs="Times New Roman"/>
          <w:sz w:val="24"/>
          <w:szCs w:val="24"/>
        </w:rPr>
        <w:t>.</w:t>
      </w:r>
      <w:r w:rsidR="006F08FF">
        <w:rPr>
          <w:rFonts w:ascii="Times New Roman" w:hAnsi="Times New Roman" w:cs="Times New Roman"/>
          <w:sz w:val="24"/>
          <w:szCs w:val="24"/>
        </w:rPr>
        <w:t xml:space="preserve"> A tanulói létszám megőrzésben fontos elemként jelentkezik a végzettség nélküli iskola elhagyók lemorzsolódásának csökkentése, amely mutatóban a DISZI a vállalt kötelezettségeinek eleget tesz. A </w:t>
      </w:r>
      <w:r w:rsidR="002F18E7">
        <w:rPr>
          <w:rFonts w:ascii="Times New Roman" w:hAnsi="Times New Roman" w:cs="Times New Roman"/>
          <w:sz w:val="24"/>
          <w:szCs w:val="24"/>
        </w:rPr>
        <w:t xml:space="preserve">lemorzsolódás </w:t>
      </w:r>
      <w:proofErr w:type="gramStart"/>
      <w:r w:rsidR="002F18E7">
        <w:rPr>
          <w:rFonts w:ascii="Times New Roman" w:hAnsi="Times New Roman" w:cs="Times New Roman"/>
          <w:sz w:val="24"/>
          <w:szCs w:val="24"/>
        </w:rPr>
        <w:t>mellett  a</w:t>
      </w:r>
      <w:proofErr w:type="gramEnd"/>
      <w:r w:rsidR="002F18E7">
        <w:rPr>
          <w:rFonts w:ascii="Times New Roman" w:hAnsi="Times New Roman" w:cs="Times New Roman"/>
          <w:sz w:val="24"/>
          <w:szCs w:val="24"/>
        </w:rPr>
        <w:t xml:space="preserve"> </w:t>
      </w:r>
      <w:r w:rsidR="006F08FF">
        <w:rPr>
          <w:rFonts w:ascii="Times New Roman" w:hAnsi="Times New Roman" w:cs="Times New Roman"/>
          <w:sz w:val="24"/>
          <w:szCs w:val="24"/>
        </w:rPr>
        <w:t xml:space="preserve">beiskolázás területén kell </w:t>
      </w:r>
      <w:r w:rsidR="002F18E7">
        <w:rPr>
          <w:rFonts w:ascii="Times New Roman" w:hAnsi="Times New Roman" w:cs="Times New Roman"/>
          <w:sz w:val="24"/>
          <w:szCs w:val="24"/>
        </w:rPr>
        <w:t>és lehet az eddigi eredményeken javítani</w:t>
      </w:r>
      <w:r w:rsidR="006F08FF">
        <w:rPr>
          <w:rFonts w:ascii="Times New Roman" w:hAnsi="Times New Roman" w:cs="Times New Roman"/>
          <w:sz w:val="24"/>
          <w:szCs w:val="24"/>
        </w:rPr>
        <w:t>.</w:t>
      </w:r>
      <w:r w:rsidR="002F18E7">
        <w:rPr>
          <w:rFonts w:ascii="Times New Roman" w:hAnsi="Times New Roman" w:cs="Times New Roman"/>
          <w:sz w:val="24"/>
          <w:szCs w:val="24"/>
        </w:rPr>
        <w:t xml:space="preserve"> </w:t>
      </w:r>
      <w:r w:rsidR="006C27EB">
        <w:rPr>
          <w:rFonts w:ascii="Times New Roman" w:hAnsi="Times New Roman" w:cs="Times New Roman"/>
          <w:sz w:val="24"/>
          <w:szCs w:val="24"/>
        </w:rPr>
        <w:t>A meglévő pályaorientációs lehetőségek még jobb kihasználásával és újjak alkalmazásával tovább növelhető a tanulói létszám.</w:t>
      </w:r>
    </w:p>
    <w:p w:rsidR="004A6BF1" w:rsidRDefault="004A6BF1" w:rsidP="003833C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6BF1" w:rsidRDefault="004A6BF1" w:rsidP="003833C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Iskolai klíma</w:t>
      </w:r>
    </w:p>
    <w:p w:rsidR="00F80920" w:rsidRPr="003276D6" w:rsidRDefault="00F80920" w:rsidP="00F80920">
      <w:pPr>
        <w:spacing w:after="120" w:line="36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3276D6">
        <w:rPr>
          <w:rFonts w:ascii="Times New Roman" w:hAnsi="Times New Roman" w:cs="Times New Roman"/>
          <w:sz w:val="24"/>
          <w:szCs w:val="24"/>
        </w:rPr>
        <w:t xml:space="preserve">Minőségi tanári munka csak kiegyensúlyozott munkatársaktól várható. Szeretnék olyan nyugodt, alkotó légkört biztosítani, amelyben mindenki gátlásoktól mentesen, egymást is segítve tud </w:t>
      </w:r>
      <w:r w:rsidR="00AD5A43" w:rsidRPr="003276D6">
        <w:rPr>
          <w:rFonts w:ascii="Times New Roman" w:hAnsi="Times New Roman" w:cs="Times New Roman"/>
          <w:sz w:val="24"/>
          <w:szCs w:val="24"/>
        </w:rPr>
        <w:t>innovációs elképzeléseivel</w:t>
      </w:r>
      <w:r w:rsidRPr="003276D6">
        <w:rPr>
          <w:rFonts w:ascii="Times New Roman" w:hAnsi="Times New Roman" w:cs="Times New Roman"/>
          <w:sz w:val="24"/>
          <w:szCs w:val="24"/>
        </w:rPr>
        <w:t xml:space="preserve"> megjelenni.</w:t>
      </w:r>
      <w:r w:rsidR="00B0022A" w:rsidRPr="00327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920" w:rsidRPr="003276D6" w:rsidRDefault="00F80920" w:rsidP="00F80920">
      <w:pPr>
        <w:spacing w:after="120" w:line="360" w:lineRule="auto"/>
        <w:ind w:left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76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276D6" w:rsidRPr="003276D6">
        <w:rPr>
          <w:rFonts w:ascii="Times New Roman" w:hAnsi="Times New Roman" w:cs="Times New Roman"/>
          <w:sz w:val="24"/>
          <w:szCs w:val="24"/>
        </w:rPr>
        <w:t xml:space="preserve">Vallom azt a felfogást </w:t>
      </w:r>
      <w:proofErr w:type="gramStart"/>
      <w:r w:rsidR="003276D6" w:rsidRPr="003276D6">
        <w:rPr>
          <w:rFonts w:ascii="Times New Roman" w:hAnsi="Times New Roman" w:cs="Times New Roman"/>
          <w:sz w:val="24"/>
          <w:szCs w:val="24"/>
        </w:rPr>
        <w:t xml:space="preserve">miszerint </w:t>
      </w:r>
      <w:r w:rsidRPr="003276D6">
        <w:rPr>
          <w:rFonts w:ascii="Times New Roman" w:hAnsi="Times New Roman" w:cs="Times New Roman"/>
          <w:sz w:val="24"/>
          <w:szCs w:val="24"/>
        </w:rPr>
        <w:t xml:space="preserve"> nem</w:t>
      </w:r>
      <w:proofErr w:type="gramEnd"/>
      <w:r w:rsidRPr="003276D6">
        <w:rPr>
          <w:rFonts w:ascii="Times New Roman" w:hAnsi="Times New Roman" w:cs="Times New Roman"/>
          <w:sz w:val="24"/>
          <w:szCs w:val="24"/>
        </w:rPr>
        <w:t xml:space="preserve"> </w:t>
      </w:r>
      <w:r w:rsidR="00525C29">
        <w:rPr>
          <w:rFonts w:ascii="Times New Roman" w:hAnsi="Times New Roman" w:cs="Times New Roman"/>
          <w:sz w:val="24"/>
          <w:szCs w:val="24"/>
        </w:rPr>
        <w:t>feltétlenül</w:t>
      </w:r>
      <w:r w:rsidRPr="003276D6">
        <w:rPr>
          <w:rFonts w:ascii="Times New Roman" w:hAnsi="Times New Roman" w:cs="Times New Roman"/>
          <w:sz w:val="24"/>
          <w:szCs w:val="24"/>
        </w:rPr>
        <w:t xml:space="preserve"> az intézmény vezetőjének kell mindent a legjobban tudnia, </w:t>
      </w:r>
      <w:r w:rsidR="00525C29">
        <w:rPr>
          <w:rFonts w:ascii="Times New Roman" w:hAnsi="Times New Roman" w:cs="Times New Roman"/>
          <w:sz w:val="24"/>
          <w:szCs w:val="24"/>
        </w:rPr>
        <w:t>viszont</w:t>
      </w:r>
      <w:r w:rsidRPr="003276D6">
        <w:rPr>
          <w:rFonts w:ascii="Times New Roman" w:hAnsi="Times New Roman" w:cs="Times New Roman"/>
          <w:sz w:val="24"/>
          <w:szCs w:val="24"/>
        </w:rPr>
        <w:t xml:space="preserve"> meg kell találnia, és maga mellé kell állítania azokat a kollégákat, akik egy-egy területnek</w:t>
      </w:r>
      <w:r w:rsidR="003276D6">
        <w:rPr>
          <w:rFonts w:ascii="Times New Roman" w:hAnsi="Times New Roman" w:cs="Times New Roman"/>
          <w:sz w:val="24"/>
          <w:szCs w:val="24"/>
        </w:rPr>
        <w:t xml:space="preserve"> a szervezeten belül elismert, </w:t>
      </w:r>
      <w:r w:rsidRPr="003276D6">
        <w:rPr>
          <w:rFonts w:ascii="Times New Roman" w:hAnsi="Times New Roman" w:cs="Times New Roman"/>
          <w:sz w:val="24"/>
          <w:szCs w:val="24"/>
        </w:rPr>
        <w:t xml:space="preserve">professzionális szakértői.  </w:t>
      </w:r>
    </w:p>
    <w:p w:rsidR="00256D8C" w:rsidRDefault="00256D8C" w:rsidP="00F80920">
      <w:pPr>
        <w:spacing w:after="120" w:line="36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Lényeges elvárásként megfogalmazód</w:t>
      </w:r>
      <w:r w:rsidR="003F6D2C"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920" w:rsidRPr="00256D8C">
        <w:rPr>
          <w:rFonts w:ascii="Times New Roman" w:hAnsi="Times New Roman" w:cs="Times New Roman"/>
          <w:sz w:val="24"/>
          <w:szCs w:val="24"/>
        </w:rPr>
        <w:t xml:space="preserve">a </w:t>
      </w:r>
      <w:r w:rsidRPr="00256D8C">
        <w:rPr>
          <w:rFonts w:ascii="Times New Roman" w:hAnsi="Times New Roman" w:cs="Times New Roman"/>
          <w:sz w:val="24"/>
          <w:szCs w:val="24"/>
        </w:rPr>
        <w:t>pedagógusok</w:t>
      </w:r>
      <w:r w:rsidR="00F80920" w:rsidRPr="00256D8C">
        <w:rPr>
          <w:rFonts w:ascii="Times New Roman" w:hAnsi="Times New Roman" w:cs="Times New Roman"/>
          <w:sz w:val="24"/>
          <w:szCs w:val="24"/>
        </w:rPr>
        <w:t xml:space="preserve"> adminisztráció</w:t>
      </w:r>
      <w:r>
        <w:rPr>
          <w:rFonts w:ascii="Times New Roman" w:hAnsi="Times New Roman" w:cs="Times New Roman"/>
          <w:sz w:val="24"/>
          <w:szCs w:val="24"/>
        </w:rPr>
        <w:t>s terheinek csökkentése</w:t>
      </w:r>
      <w:r w:rsidRPr="00256D8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56D8C">
        <w:rPr>
          <w:rFonts w:ascii="Times New Roman" w:hAnsi="Times New Roman" w:cs="Times New Roman"/>
          <w:sz w:val="24"/>
          <w:szCs w:val="24"/>
        </w:rPr>
        <w:t>ezzel  idő</w:t>
      </w:r>
      <w:proofErr w:type="gramEnd"/>
      <w:r w:rsidR="00F80920" w:rsidRPr="00256D8C">
        <w:rPr>
          <w:rFonts w:ascii="Times New Roman" w:hAnsi="Times New Roman" w:cs="Times New Roman"/>
          <w:sz w:val="24"/>
          <w:szCs w:val="24"/>
        </w:rPr>
        <w:t xml:space="preserve"> </w:t>
      </w:r>
      <w:r w:rsidRPr="00256D8C">
        <w:rPr>
          <w:rFonts w:ascii="Times New Roman" w:hAnsi="Times New Roman" w:cs="Times New Roman"/>
          <w:sz w:val="24"/>
          <w:szCs w:val="24"/>
        </w:rPr>
        <w:t>szabadítható fel</w:t>
      </w:r>
      <w:r w:rsidR="00F80920" w:rsidRPr="00256D8C">
        <w:rPr>
          <w:rFonts w:ascii="Times New Roman" w:hAnsi="Times New Roman" w:cs="Times New Roman"/>
          <w:sz w:val="24"/>
          <w:szCs w:val="24"/>
        </w:rPr>
        <w:t xml:space="preserve"> értékesebb tevékenységekre. </w:t>
      </w:r>
      <w:r>
        <w:rPr>
          <w:rFonts w:ascii="Times New Roman" w:hAnsi="Times New Roman" w:cs="Times New Roman"/>
          <w:sz w:val="24"/>
          <w:szCs w:val="24"/>
        </w:rPr>
        <w:t xml:space="preserve">A korábban bevezetésre kerülő elektronikus napló használatát jónak tartom és szorgalmazom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256D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76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6D8C">
        <w:rPr>
          <w:rFonts w:ascii="Times New Roman" w:hAnsi="Times New Roman" w:cs="Times New Roman"/>
          <w:sz w:val="24"/>
          <w:szCs w:val="24"/>
        </w:rPr>
        <w:t>belső</w:t>
      </w:r>
      <w:proofErr w:type="gramEnd"/>
      <w:r w:rsidRPr="00256D8C">
        <w:rPr>
          <w:rFonts w:ascii="Times New Roman" w:hAnsi="Times New Roman" w:cs="Times New Roman"/>
          <w:sz w:val="24"/>
          <w:szCs w:val="24"/>
        </w:rPr>
        <w:t xml:space="preserve"> adatszolgáltatási rendszer teljes mértékű elektronikussá tételét</w:t>
      </w:r>
      <w:r w:rsidR="0086036E">
        <w:rPr>
          <w:rFonts w:ascii="Times New Roman" w:hAnsi="Times New Roman" w:cs="Times New Roman"/>
          <w:sz w:val="24"/>
          <w:szCs w:val="24"/>
        </w:rPr>
        <w:t xml:space="preserve"> (</w:t>
      </w:r>
      <w:r w:rsidR="0086036E" w:rsidRPr="0086036E">
        <w:rPr>
          <w:rFonts w:ascii="Times New Roman" w:hAnsi="Times New Roman" w:cs="Times New Roman"/>
          <w:sz w:val="24"/>
          <w:szCs w:val="24"/>
        </w:rPr>
        <w:t xml:space="preserve">statisztikák, átlagok, </w:t>
      </w:r>
      <w:r w:rsidR="0086036E">
        <w:rPr>
          <w:rFonts w:ascii="Times New Roman" w:hAnsi="Times New Roman" w:cs="Times New Roman"/>
          <w:sz w:val="24"/>
          <w:szCs w:val="24"/>
        </w:rPr>
        <w:t xml:space="preserve">napló, </w:t>
      </w:r>
      <w:r w:rsidR="0086036E" w:rsidRPr="0086036E">
        <w:rPr>
          <w:rFonts w:ascii="Times New Roman" w:hAnsi="Times New Roman" w:cs="Times New Roman"/>
          <w:sz w:val="24"/>
          <w:szCs w:val="24"/>
        </w:rPr>
        <w:t>törzslap stb.)</w:t>
      </w:r>
      <w:r w:rsidRPr="0086036E">
        <w:rPr>
          <w:rFonts w:ascii="Times New Roman" w:hAnsi="Times New Roman" w:cs="Times New Roman"/>
          <w:sz w:val="24"/>
          <w:szCs w:val="24"/>
        </w:rPr>
        <w:t>.</w:t>
      </w:r>
      <w:r w:rsidR="0086036E">
        <w:rPr>
          <w:rFonts w:ascii="Times New Roman" w:hAnsi="Times New Roman" w:cs="Times New Roman"/>
          <w:sz w:val="24"/>
          <w:szCs w:val="24"/>
        </w:rPr>
        <w:t xml:space="preserve"> A digitális oktatásban szerzett tapasztalatokra támaszkodva elő kell segíteni a szülők és az iskola közötti elektronikus kommunikációt. </w:t>
      </w:r>
      <w:r w:rsidR="00541BCD">
        <w:rPr>
          <w:rFonts w:ascii="Times New Roman" w:hAnsi="Times New Roman" w:cs="Times New Roman"/>
          <w:sz w:val="24"/>
          <w:szCs w:val="24"/>
        </w:rPr>
        <w:t>Meg szeretném valósítani, hogy m</w:t>
      </w:r>
      <w:r w:rsidR="0086036E">
        <w:rPr>
          <w:rFonts w:ascii="Times New Roman" w:hAnsi="Times New Roman" w:cs="Times New Roman"/>
          <w:sz w:val="24"/>
          <w:szCs w:val="24"/>
        </w:rPr>
        <w:t xml:space="preserve">egfelelő előkészületek után elektronikusan </w:t>
      </w:r>
      <w:r w:rsidR="00541BCD">
        <w:rPr>
          <w:rFonts w:ascii="Times New Roman" w:hAnsi="Times New Roman" w:cs="Times New Roman"/>
          <w:sz w:val="24"/>
          <w:szCs w:val="24"/>
        </w:rPr>
        <w:t xml:space="preserve">történjen az </w:t>
      </w:r>
      <w:r w:rsidR="0086036E">
        <w:rPr>
          <w:rFonts w:ascii="Times New Roman" w:hAnsi="Times New Roman" w:cs="Times New Roman"/>
          <w:sz w:val="24"/>
          <w:szCs w:val="24"/>
        </w:rPr>
        <w:t xml:space="preserve">óra- és teremrend </w:t>
      </w:r>
      <w:r w:rsidR="00541BCD">
        <w:rPr>
          <w:rFonts w:ascii="Times New Roman" w:hAnsi="Times New Roman" w:cs="Times New Roman"/>
          <w:sz w:val="24"/>
          <w:szCs w:val="24"/>
        </w:rPr>
        <w:t>elkészítése</w:t>
      </w:r>
      <w:r w:rsidR="0086036E">
        <w:rPr>
          <w:rFonts w:ascii="Times New Roman" w:hAnsi="Times New Roman" w:cs="Times New Roman"/>
          <w:sz w:val="24"/>
          <w:szCs w:val="24"/>
        </w:rPr>
        <w:t>.</w:t>
      </w:r>
    </w:p>
    <w:p w:rsidR="004A6BF1" w:rsidRPr="00DD4764" w:rsidRDefault="00F80920" w:rsidP="00DD4764">
      <w:pPr>
        <w:spacing w:after="120" w:line="36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3276D6">
        <w:rPr>
          <w:rFonts w:ascii="Times New Roman" w:hAnsi="Times New Roman" w:cs="Times New Roman"/>
          <w:sz w:val="24"/>
          <w:szCs w:val="24"/>
        </w:rPr>
        <w:t xml:space="preserve">A </w:t>
      </w:r>
      <w:r w:rsidR="003276D6">
        <w:rPr>
          <w:rFonts w:ascii="Times New Roman" w:hAnsi="Times New Roman" w:cs="Times New Roman"/>
          <w:sz w:val="24"/>
          <w:szCs w:val="24"/>
        </w:rPr>
        <w:t>pedagógusok</w:t>
      </w:r>
      <w:r w:rsidRPr="003276D6">
        <w:rPr>
          <w:rFonts w:ascii="Times New Roman" w:hAnsi="Times New Roman" w:cs="Times New Roman"/>
          <w:sz w:val="24"/>
          <w:szCs w:val="24"/>
        </w:rPr>
        <w:t xml:space="preserve"> testi-szellemi megújulása érdekében biztosítani kell az iskola ezt szolgáló eszközeihez való hozzáférést.</w:t>
      </w:r>
    </w:p>
    <w:p w:rsidR="004A6BF1" w:rsidRDefault="004A6BF1" w:rsidP="00F30347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Célkitűzéseim</w:t>
      </w:r>
    </w:p>
    <w:p w:rsidR="00F30347" w:rsidRDefault="00F30347" w:rsidP="00F30347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0920" w:rsidRPr="006F5661" w:rsidRDefault="00F80920" w:rsidP="00F30347">
      <w:pPr>
        <w:pStyle w:val="Listaszerbekezds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61">
        <w:rPr>
          <w:rFonts w:ascii="Times New Roman" w:hAnsi="Times New Roman" w:cs="Times New Roman"/>
          <w:sz w:val="24"/>
          <w:szCs w:val="24"/>
        </w:rPr>
        <w:t xml:space="preserve">Olyan intézmény vezetője szeretnék lenni, melyben a </w:t>
      </w:r>
      <w:r w:rsidR="006F5661">
        <w:rPr>
          <w:rFonts w:ascii="Times New Roman" w:hAnsi="Times New Roman" w:cs="Times New Roman"/>
          <w:sz w:val="24"/>
          <w:szCs w:val="24"/>
        </w:rPr>
        <w:t>diákok</w:t>
      </w:r>
      <w:r w:rsidRPr="006F5661">
        <w:rPr>
          <w:rFonts w:ascii="Times New Roman" w:hAnsi="Times New Roman" w:cs="Times New Roman"/>
          <w:sz w:val="24"/>
          <w:szCs w:val="24"/>
        </w:rPr>
        <w:t xml:space="preserve">, </w:t>
      </w:r>
      <w:r w:rsidR="006F5661">
        <w:rPr>
          <w:rFonts w:ascii="Times New Roman" w:hAnsi="Times New Roman" w:cs="Times New Roman"/>
          <w:sz w:val="24"/>
          <w:szCs w:val="24"/>
        </w:rPr>
        <w:t>pedagógusok</w:t>
      </w:r>
      <w:r w:rsidRPr="006F5661">
        <w:rPr>
          <w:rFonts w:ascii="Times New Roman" w:hAnsi="Times New Roman" w:cs="Times New Roman"/>
          <w:sz w:val="24"/>
          <w:szCs w:val="24"/>
        </w:rPr>
        <w:t xml:space="preserve">, de az iskola minden dolgozója megtalálja a helyét, tudja feladatát, ismeri az elvárásokat, s mindent megtesz azért, hogy a DISZI </w:t>
      </w:r>
      <w:r w:rsidR="006F5661">
        <w:rPr>
          <w:rFonts w:ascii="Times New Roman" w:hAnsi="Times New Roman" w:cs="Times New Roman"/>
          <w:sz w:val="24"/>
          <w:szCs w:val="24"/>
        </w:rPr>
        <w:t>jól</w:t>
      </w:r>
      <w:r w:rsidRPr="006F5661">
        <w:rPr>
          <w:rFonts w:ascii="Times New Roman" w:hAnsi="Times New Roman" w:cs="Times New Roman"/>
          <w:sz w:val="24"/>
          <w:szCs w:val="24"/>
        </w:rPr>
        <w:t xml:space="preserve"> működő, igaz</w:t>
      </w:r>
      <w:r w:rsidR="006F5661">
        <w:rPr>
          <w:rFonts w:ascii="Times New Roman" w:hAnsi="Times New Roman" w:cs="Times New Roman"/>
          <w:sz w:val="24"/>
          <w:szCs w:val="24"/>
        </w:rPr>
        <w:t>án elismert középiskola legyen.</w:t>
      </w:r>
    </w:p>
    <w:p w:rsidR="001969CA" w:rsidRDefault="00F013BF" w:rsidP="00F30347">
      <w:pPr>
        <w:pStyle w:val="Listaszerbekezds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969CA">
        <w:rPr>
          <w:rFonts w:ascii="Times New Roman" w:hAnsi="Times New Roman" w:cs="Times New Roman"/>
          <w:sz w:val="24"/>
          <w:szCs w:val="24"/>
        </w:rPr>
        <w:t>z iskola</w:t>
      </w:r>
      <w:r>
        <w:rPr>
          <w:rFonts w:ascii="Times New Roman" w:hAnsi="Times New Roman" w:cs="Times New Roman"/>
          <w:sz w:val="24"/>
          <w:szCs w:val="24"/>
        </w:rPr>
        <w:t>, a helyi gazdasági kamarával, a helyi köznevelési intézményekkel</w:t>
      </w:r>
      <w:r w:rsidR="001969CA">
        <w:rPr>
          <w:rFonts w:ascii="Times New Roman" w:hAnsi="Times New Roman" w:cs="Times New Roman"/>
          <w:sz w:val="24"/>
          <w:szCs w:val="24"/>
        </w:rPr>
        <w:t xml:space="preserve"> és a térség gazdálkodó szervezeteivel kialakult jó kapcsolatait tovább szeretném erősíteni, illetve új kapcsolatokat a fenntartóval együttműködve kialakítani, annak érdekében, hogy a jó gyakorlatokat m</w:t>
      </w:r>
      <w:r w:rsidR="00CD4C18">
        <w:rPr>
          <w:rFonts w:ascii="Times New Roman" w:hAnsi="Times New Roman" w:cs="Times New Roman"/>
          <w:sz w:val="24"/>
          <w:szCs w:val="24"/>
        </w:rPr>
        <w:t xml:space="preserve">egismerhessük és </w:t>
      </w:r>
      <w:r w:rsidR="001969CA">
        <w:rPr>
          <w:rFonts w:ascii="Times New Roman" w:hAnsi="Times New Roman" w:cs="Times New Roman"/>
          <w:sz w:val="24"/>
          <w:szCs w:val="24"/>
        </w:rPr>
        <w:t>hasznosíthassuk.</w:t>
      </w:r>
    </w:p>
    <w:p w:rsidR="00214880" w:rsidRDefault="00214880" w:rsidP="00F30347">
      <w:pPr>
        <w:pStyle w:val="Listaszerbekezds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Pályaorientációs tevékenység erősítése révén és a képzés színvonalának emelése mellett csökkenteni szeretném a lemorzsolódást </w:t>
      </w:r>
    </w:p>
    <w:p w:rsidR="00DD4764" w:rsidRPr="00DD4764" w:rsidRDefault="00DD4764" w:rsidP="00DD4764">
      <w:pPr>
        <w:pStyle w:val="Listaszerbekezds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intézmény karbantartásra figyelmet fordítok és a már </w:t>
      </w:r>
      <w:r w:rsidRPr="00DD4764">
        <w:rPr>
          <w:rFonts w:ascii="Times New Roman" w:hAnsi="Times New Roman" w:cs="Times New Roman"/>
          <w:sz w:val="24"/>
          <w:szCs w:val="24"/>
        </w:rPr>
        <w:t xml:space="preserve">elkezdett infrastrukturális pályázatok megfelelő színvonalú és minőségű megvalósítását </w:t>
      </w:r>
      <w:r>
        <w:rPr>
          <w:rFonts w:ascii="Times New Roman" w:hAnsi="Times New Roman" w:cs="Times New Roman"/>
          <w:sz w:val="24"/>
          <w:szCs w:val="24"/>
        </w:rPr>
        <w:t>elősegítem.</w:t>
      </w:r>
    </w:p>
    <w:p w:rsidR="00F80920" w:rsidRPr="00F30347" w:rsidRDefault="007C559A" w:rsidP="00F30347">
      <w:pPr>
        <w:pStyle w:val="Listaszerbekezds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Szeretném biztosítani a</w:t>
      </w:r>
      <w:r w:rsidR="00F80920" w:rsidRPr="00F30347">
        <w:rPr>
          <w:rFonts w:ascii="Times New Roman" w:hAnsi="Times New Roman" w:cs="Times New Roman"/>
          <w:sz w:val="24"/>
          <w:szCs w:val="24"/>
        </w:rPr>
        <w:t xml:space="preserve"> naprakész információáramlást az iskola és környezete, tová</w:t>
      </w:r>
      <w:r w:rsidR="00F30347">
        <w:rPr>
          <w:rFonts w:ascii="Times New Roman" w:hAnsi="Times New Roman" w:cs="Times New Roman"/>
          <w:sz w:val="24"/>
          <w:szCs w:val="24"/>
        </w:rPr>
        <w:t>bbá az iskolán belül az iskolavezetés és a tantestület, az iskolavezetés</w:t>
      </w:r>
      <w:r w:rsidR="00F80920" w:rsidRPr="00F30347">
        <w:rPr>
          <w:rFonts w:ascii="Times New Roman" w:hAnsi="Times New Roman" w:cs="Times New Roman"/>
          <w:sz w:val="24"/>
          <w:szCs w:val="24"/>
        </w:rPr>
        <w:t xml:space="preserve"> és az iskolában működő szervezetek között.</w:t>
      </w:r>
    </w:p>
    <w:p w:rsidR="00F80920" w:rsidRPr="004441CC" w:rsidRDefault="00F80920" w:rsidP="003833C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F80920" w:rsidRPr="00444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1247B"/>
    <w:multiLevelType w:val="hybridMultilevel"/>
    <w:tmpl w:val="60AC40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F4981"/>
    <w:multiLevelType w:val="hybridMultilevel"/>
    <w:tmpl w:val="1B9A5FB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A28A4"/>
    <w:multiLevelType w:val="hybridMultilevel"/>
    <w:tmpl w:val="B6405448"/>
    <w:lvl w:ilvl="0" w:tplc="040E000B">
      <w:start w:val="1"/>
      <w:numFmt w:val="bullet"/>
      <w:lvlText w:val=""/>
      <w:lvlJc w:val="left"/>
      <w:pPr>
        <w:ind w:left="213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" w15:restartNumberingAfterBreak="0">
    <w:nsid w:val="212F536B"/>
    <w:multiLevelType w:val="hybridMultilevel"/>
    <w:tmpl w:val="DA8844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7568F"/>
    <w:multiLevelType w:val="hybridMultilevel"/>
    <w:tmpl w:val="105A9C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708C9"/>
    <w:multiLevelType w:val="hybridMultilevel"/>
    <w:tmpl w:val="AAA4C2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74754"/>
    <w:multiLevelType w:val="hybridMultilevel"/>
    <w:tmpl w:val="E42E3402"/>
    <w:lvl w:ilvl="0" w:tplc="A2DE9C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E648A6"/>
    <w:multiLevelType w:val="hybridMultilevel"/>
    <w:tmpl w:val="6C00C1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22806"/>
    <w:multiLevelType w:val="hybridMultilevel"/>
    <w:tmpl w:val="6B7019A4"/>
    <w:lvl w:ilvl="0" w:tplc="3A923E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97F78"/>
    <w:multiLevelType w:val="hybridMultilevel"/>
    <w:tmpl w:val="C72688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14E4E"/>
    <w:multiLevelType w:val="hybridMultilevel"/>
    <w:tmpl w:val="89562C00"/>
    <w:lvl w:ilvl="0" w:tplc="040E000B">
      <w:start w:val="1"/>
      <w:numFmt w:val="bullet"/>
      <w:lvlText w:val=""/>
      <w:lvlJc w:val="left"/>
      <w:pPr>
        <w:ind w:left="213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1" w15:restartNumberingAfterBreak="0">
    <w:nsid w:val="690F217E"/>
    <w:multiLevelType w:val="hybridMultilevel"/>
    <w:tmpl w:val="E63C4130"/>
    <w:lvl w:ilvl="0" w:tplc="040E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752424CA"/>
    <w:multiLevelType w:val="hybridMultilevel"/>
    <w:tmpl w:val="01CA20B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1267EF"/>
    <w:multiLevelType w:val="hybridMultilevel"/>
    <w:tmpl w:val="FCAE26FE"/>
    <w:lvl w:ilvl="0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2"/>
  </w:num>
  <w:num w:numId="5">
    <w:abstractNumId w:val="13"/>
  </w:num>
  <w:num w:numId="6">
    <w:abstractNumId w:val="0"/>
  </w:num>
  <w:num w:numId="7">
    <w:abstractNumId w:val="11"/>
  </w:num>
  <w:num w:numId="8">
    <w:abstractNumId w:val="5"/>
  </w:num>
  <w:num w:numId="9">
    <w:abstractNumId w:val="3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BF"/>
    <w:rsid w:val="00097B31"/>
    <w:rsid w:val="000B63B4"/>
    <w:rsid w:val="000C179A"/>
    <w:rsid w:val="000E66A6"/>
    <w:rsid w:val="000F66CC"/>
    <w:rsid w:val="00107A24"/>
    <w:rsid w:val="00134647"/>
    <w:rsid w:val="001414DD"/>
    <w:rsid w:val="00151786"/>
    <w:rsid w:val="00161423"/>
    <w:rsid w:val="00163CD0"/>
    <w:rsid w:val="0016721E"/>
    <w:rsid w:val="00171004"/>
    <w:rsid w:val="001969CA"/>
    <w:rsid w:val="001C0317"/>
    <w:rsid w:val="001E19DF"/>
    <w:rsid w:val="001E618E"/>
    <w:rsid w:val="00214880"/>
    <w:rsid w:val="00231B61"/>
    <w:rsid w:val="00232FF7"/>
    <w:rsid w:val="00256D8C"/>
    <w:rsid w:val="00262310"/>
    <w:rsid w:val="002675FC"/>
    <w:rsid w:val="002A2C95"/>
    <w:rsid w:val="002F18E7"/>
    <w:rsid w:val="002F2A7A"/>
    <w:rsid w:val="003054DB"/>
    <w:rsid w:val="003276D6"/>
    <w:rsid w:val="00327A27"/>
    <w:rsid w:val="0034615D"/>
    <w:rsid w:val="00374D28"/>
    <w:rsid w:val="00375ACA"/>
    <w:rsid w:val="003833C8"/>
    <w:rsid w:val="00390EB5"/>
    <w:rsid w:val="003951CE"/>
    <w:rsid w:val="003F3ECF"/>
    <w:rsid w:val="003F6D2C"/>
    <w:rsid w:val="0040010D"/>
    <w:rsid w:val="004441CC"/>
    <w:rsid w:val="00472F1F"/>
    <w:rsid w:val="004A6BF1"/>
    <w:rsid w:val="004B5EF7"/>
    <w:rsid w:val="005041A0"/>
    <w:rsid w:val="00506BAE"/>
    <w:rsid w:val="00506EA8"/>
    <w:rsid w:val="00507E98"/>
    <w:rsid w:val="00513CE2"/>
    <w:rsid w:val="0051637E"/>
    <w:rsid w:val="00525C29"/>
    <w:rsid w:val="00526DA9"/>
    <w:rsid w:val="00541BCD"/>
    <w:rsid w:val="005A637A"/>
    <w:rsid w:val="005B1905"/>
    <w:rsid w:val="005D00E2"/>
    <w:rsid w:val="0068615D"/>
    <w:rsid w:val="006C27EB"/>
    <w:rsid w:val="006F08FF"/>
    <w:rsid w:val="006F5661"/>
    <w:rsid w:val="007168A8"/>
    <w:rsid w:val="00716C41"/>
    <w:rsid w:val="0073088C"/>
    <w:rsid w:val="00730E82"/>
    <w:rsid w:val="00741FDF"/>
    <w:rsid w:val="007571D8"/>
    <w:rsid w:val="007614FB"/>
    <w:rsid w:val="007A2F33"/>
    <w:rsid w:val="007C0755"/>
    <w:rsid w:val="007C1E6E"/>
    <w:rsid w:val="007C559A"/>
    <w:rsid w:val="007E1B42"/>
    <w:rsid w:val="007E2F40"/>
    <w:rsid w:val="00802306"/>
    <w:rsid w:val="0086036E"/>
    <w:rsid w:val="00885FDB"/>
    <w:rsid w:val="00895EF6"/>
    <w:rsid w:val="008B2D67"/>
    <w:rsid w:val="008B4E9A"/>
    <w:rsid w:val="00915BFE"/>
    <w:rsid w:val="009352A8"/>
    <w:rsid w:val="00936C9E"/>
    <w:rsid w:val="00940903"/>
    <w:rsid w:val="009427D7"/>
    <w:rsid w:val="0098036B"/>
    <w:rsid w:val="00991B8E"/>
    <w:rsid w:val="00A04AE0"/>
    <w:rsid w:val="00A14BBF"/>
    <w:rsid w:val="00A16DAF"/>
    <w:rsid w:val="00A8098D"/>
    <w:rsid w:val="00AA5617"/>
    <w:rsid w:val="00AC4B1F"/>
    <w:rsid w:val="00AC6AC9"/>
    <w:rsid w:val="00AC77A5"/>
    <w:rsid w:val="00AD5A43"/>
    <w:rsid w:val="00AE51CC"/>
    <w:rsid w:val="00B0022A"/>
    <w:rsid w:val="00BA617D"/>
    <w:rsid w:val="00BD270D"/>
    <w:rsid w:val="00BE79B3"/>
    <w:rsid w:val="00BE7A1D"/>
    <w:rsid w:val="00BF4B8B"/>
    <w:rsid w:val="00C251E5"/>
    <w:rsid w:val="00C44814"/>
    <w:rsid w:val="00CD35D8"/>
    <w:rsid w:val="00CD4C18"/>
    <w:rsid w:val="00CE6B46"/>
    <w:rsid w:val="00CF2B61"/>
    <w:rsid w:val="00D06555"/>
    <w:rsid w:val="00D813FE"/>
    <w:rsid w:val="00DA785B"/>
    <w:rsid w:val="00DD4764"/>
    <w:rsid w:val="00DE3226"/>
    <w:rsid w:val="00DE3710"/>
    <w:rsid w:val="00DF0D0B"/>
    <w:rsid w:val="00DF2FD0"/>
    <w:rsid w:val="00E37E07"/>
    <w:rsid w:val="00E43A85"/>
    <w:rsid w:val="00E466CB"/>
    <w:rsid w:val="00E85D31"/>
    <w:rsid w:val="00E9483E"/>
    <w:rsid w:val="00E95E76"/>
    <w:rsid w:val="00E97EBD"/>
    <w:rsid w:val="00EF4F93"/>
    <w:rsid w:val="00F013BF"/>
    <w:rsid w:val="00F26CF5"/>
    <w:rsid w:val="00F2780B"/>
    <w:rsid w:val="00F27826"/>
    <w:rsid w:val="00F30347"/>
    <w:rsid w:val="00F445D1"/>
    <w:rsid w:val="00F475B1"/>
    <w:rsid w:val="00F54C80"/>
    <w:rsid w:val="00F80920"/>
    <w:rsid w:val="00FA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0B8A7-B04C-4C3E-9238-5AFF7590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14BB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27A27"/>
    <w:pPr>
      <w:ind w:left="720"/>
      <w:contextualSpacing/>
    </w:pPr>
  </w:style>
  <w:style w:type="table" w:styleId="Rcsostblzat">
    <w:name w:val="Table Grid"/>
    <w:basedOn w:val="Normltblzat"/>
    <w:uiPriority w:val="39"/>
    <w:rsid w:val="0039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E2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2F40"/>
    <w:rPr>
      <w:rFonts w:ascii="Segoe UI" w:hAnsi="Segoe UI" w:cs="Segoe UI"/>
      <w:sz w:val="18"/>
      <w:szCs w:val="18"/>
    </w:rPr>
  </w:style>
  <w:style w:type="paragraph" w:styleId="Szvegtrzsbehzssal">
    <w:name w:val="Body Text Indent"/>
    <w:basedOn w:val="Norml"/>
    <w:link w:val="SzvegtrzsbehzssalChar"/>
    <w:rsid w:val="00374D28"/>
    <w:pPr>
      <w:spacing w:after="0" w:line="360" w:lineRule="auto"/>
      <w:ind w:left="709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374D28"/>
    <w:rPr>
      <w:rFonts w:ascii="Times New Roman" w:eastAsia="Times New Roman" w:hAnsi="Times New Roman" w:cs="Times New Roman"/>
      <w:sz w:val="24"/>
      <w:szCs w:val="20"/>
      <w:lang w:eastAsia="hu-HU"/>
    </w:rPr>
  </w:style>
  <w:style w:type="table" w:customStyle="1" w:styleId="TableGrid">
    <w:name w:val="TableGrid"/>
    <w:rsid w:val="0034615D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16</Pages>
  <Words>2725</Words>
  <Characters>18803</Characters>
  <Application>Microsoft Office Word</Application>
  <DocSecurity>0</DocSecurity>
  <Lines>156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diszi</dc:creator>
  <cp:keywords/>
  <dc:description/>
  <cp:lastModifiedBy>diszi</cp:lastModifiedBy>
  <cp:revision>98</cp:revision>
  <cp:lastPrinted>2020-04-29T06:07:00Z</cp:lastPrinted>
  <dcterms:created xsi:type="dcterms:W3CDTF">2020-04-25T15:10:00Z</dcterms:created>
  <dcterms:modified xsi:type="dcterms:W3CDTF">2020-04-30T05:52:00Z</dcterms:modified>
</cp:coreProperties>
</file>